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14" w:rsidRPr="004E687E" w:rsidRDefault="00235F14" w:rsidP="00B070B4">
      <w:pPr>
        <w:pStyle w:val="Heading2"/>
        <w:rPr>
          <w:rFonts w:ascii="Tahoma" w:hAnsi="Tahoma" w:cs="Tahoma"/>
          <w:b w:val="0"/>
          <w:sz w:val="22"/>
          <w:szCs w:val="22"/>
        </w:rPr>
      </w:pPr>
    </w:p>
    <w:p w:rsidR="00B070B4" w:rsidRPr="001038F8" w:rsidRDefault="00B070B4" w:rsidP="00B070B4">
      <w:pPr>
        <w:pStyle w:val="Heading2"/>
        <w:rPr>
          <w:rFonts w:ascii="Tahoma" w:hAnsi="Tahoma" w:cs="Tahoma"/>
          <w:sz w:val="22"/>
          <w:szCs w:val="22"/>
        </w:rPr>
      </w:pPr>
      <w:r w:rsidRPr="001038F8">
        <w:rPr>
          <w:rFonts w:ascii="Tahoma" w:hAnsi="Tahoma" w:cs="Tahoma"/>
          <w:sz w:val="22"/>
          <w:szCs w:val="22"/>
        </w:rPr>
        <w:t>KLINIČKI BOLNIČKI CENTAR ZAGREB</w:t>
      </w:r>
    </w:p>
    <w:p w:rsidR="00B070B4" w:rsidRPr="001038F8" w:rsidRDefault="00B070B4" w:rsidP="00B070B4">
      <w:pPr>
        <w:jc w:val="both"/>
        <w:rPr>
          <w:rFonts w:ascii="Tahoma" w:hAnsi="Tahoma" w:cs="Tahoma"/>
          <w:b/>
          <w:sz w:val="22"/>
          <w:szCs w:val="22"/>
        </w:rPr>
      </w:pPr>
      <w:r w:rsidRPr="001038F8">
        <w:rPr>
          <w:rFonts w:ascii="Tahoma" w:hAnsi="Tahoma" w:cs="Tahoma"/>
          <w:b/>
          <w:sz w:val="22"/>
          <w:szCs w:val="22"/>
        </w:rPr>
        <w:t xml:space="preserve">10000 ZAGREB, </w:t>
      </w:r>
      <w:proofErr w:type="spellStart"/>
      <w:r w:rsidRPr="001038F8">
        <w:rPr>
          <w:rFonts w:ascii="Tahoma" w:hAnsi="Tahoma" w:cs="Tahoma"/>
          <w:b/>
          <w:sz w:val="22"/>
          <w:szCs w:val="22"/>
        </w:rPr>
        <w:t>Kišpatićeva</w:t>
      </w:r>
      <w:proofErr w:type="spellEnd"/>
      <w:r w:rsidRPr="001038F8">
        <w:rPr>
          <w:rFonts w:ascii="Tahoma" w:hAnsi="Tahoma" w:cs="Tahoma"/>
          <w:b/>
          <w:sz w:val="22"/>
          <w:szCs w:val="22"/>
        </w:rPr>
        <w:t xml:space="preserve"> 12</w:t>
      </w:r>
    </w:p>
    <w:p w:rsidR="00B070B4" w:rsidRDefault="00B070B4" w:rsidP="00B070B4">
      <w:pPr>
        <w:jc w:val="both"/>
        <w:rPr>
          <w:rFonts w:ascii="Tahoma" w:hAnsi="Tahoma" w:cs="Tahoma"/>
          <w:sz w:val="22"/>
          <w:szCs w:val="22"/>
        </w:rPr>
      </w:pPr>
    </w:p>
    <w:tbl>
      <w:tblPr>
        <w:tblStyle w:val="TableGrid"/>
        <w:tblW w:w="0" w:type="auto"/>
        <w:tblLook w:val="04A0" w:firstRow="1" w:lastRow="0" w:firstColumn="1" w:lastColumn="0" w:noHBand="0" w:noVBand="1"/>
      </w:tblPr>
      <w:tblGrid>
        <w:gridCol w:w="4928"/>
        <w:gridCol w:w="3793"/>
      </w:tblGrid>
      <w:tr w:rsidR="00B070B4" w:rsidRPr="002A2893" w:rsidTr="002351E8">
        <w:tc>
          <w:tcPr>
            <w:tcW w:w="4928" w:type="dxa"/>
          </w:tcPr>
          <w:p w:rsidR="00B070B4" w:rsidRPr="002A2893" w:rsidRDefault="00B070B4" w:rsidP="002351E8">
            <w:pPr>
              <w:jc w:val="both"/>
              <w:rPr>
                <w:rFonts w:ascii="Tahoma" w:hAnsi="Tahoma" w:cs="Tahoma"/>
                <w:sz w:val="22"/>
                <w:szCs w:val="22"/>
              </w:rPr>
            </w:pPr>
            <w:r w:rsidRPr="002A2893">
              <w:rPr>
                <w:rFonts w:ascii="Tahoma" w:hAnsi="Tahoma" w:cs="Tahoma"/>
                <w:sz w:val="22"/>
                <w:szCs w:val="22"/>
              </w:rPr>
              <w:t>Šifra grada/općine: 133</w:t>
            </w:r>
          </w:p>
        </w:tc>
        <w:tc>
          <w:tcPr>
            <w:tcW w:w="3793" w:type="dxa"/>
          </w:tcPr>
          <w:p w:rsidR="00B070B4" w:rsidRPr="002A2893" w:rsidRDefault="00B070B4" w:rsidP="002351E8">
            <w:pPr>
              <w:jc w:val="both"/>
              <w:rPr>
                <w:rFonts w:ascii="Tahoma" w:hAnsi="Tahoma" w:cs="Tahoma"/>
                <w:sz w:val="22"/>
                <w:szCs w:val="22"/>
              </w:rPr>
            </w:pPr>
            <w:r w:rsidRPr="002A2893">
              <w:rPr>
                <w:rFonts w:ascii="Tahoma" w:hAnsi="Tahoma" w:cs="Tahoma"/>
                <w:sz w:val="22"/>
                <w:szCs w:val="22"/>
              </w:rPr>
              <w:t>Razina: 11</w:t>
            </w:r>
          </w:p>
        </w:tc>
      </w:tr>
      <w:tr w:rsidR="00B070B4" w:rsidRPr="002A2893" w:rsidTr="002351E8">
        <w:tc>
          <w:tcPr>
            <w:tcW w:w="4928" w:type="dxa"/>
          </w:tcPr>
          <w:p w:rsidR="00B070B4" w:rsidRPr="002A2893" w:rsidRDefault="00B070B4" w:rsidP="002351E8">
            <w:pPr>
              <w:jc w:val="both"/>
              <w:rPr>
                <w:rFonts w:ascii="Tahoma" w:hAnsi="Tahoma" w:cs="Tahoma"/>
                <w:sz w:val="22"/>
                <w:szCs w:val="22"/>
              </w:rPr>
            </w:pPr>
            <w:r w:rsidRPr="002A2893">
              <w:rPr>
                <w:rFonts w:ascii="Tahoma" w:hAnsi="Tahoma" w:cs="Tahoma"/>
                <w:sz w:val="22"/>
                <w:szCs w:val="22"/>
              </w:rPr>
              <w:t>Broj RKP-a: 38069</w:t>
            </w:r>
          </w:p>
        </w:tc>
        <w:tc>
          <w:tcPr>
            <w:tcW w:w="3793" w:type="dxa"/>
          </w:tcPr>
          <w:p w:rsidR="00B070B4" w:rsidRPr="002A2893" w:rsidRDefault="00B070B4" w:rsidP="002351E8">
            <w:pPr>
              <w:jc w:val="both"/>
              <w:rPr>
                <w:rFonts w:ascii="Tahoma" w:hAnsi="Tahoma" w:cs="Tahoma"/>
                <w:sz w:val="22"/>
                <w:szCs w:val="22"/>
              </w:rPr>
            </w:pPr>
            <w:r w:rsidRPr="002A2893">
              <w:rPr>
                <w:rFonts w:ascii="Tahoma" w:hAnsi="Tahoma" w:cs="Tahoma"/>
                <w:sz w:val="22"/>
                <w:szCs w:val="22"/>
              </w:rPr>
              <w:t>Razdjel: 096</w:t>
            </w:r>
          </w:p>
        </w:tc>
      </w:tr>
      <w:tr w:rsidR="00B070B4" w:rsidRPr="002A2893" w:rsidTr="002351E8">
        <w:tc>
          <w:tcPr>
            <w:tcW w:w="4928" w:type="dxa"/>
          </w:tcPr>
          <w:p w:rsidR="00B070B4" w:rsidRPr="002A2893" w:rsidRDefault="00B070B4" w:rsidP="002351E8">
            <w:pPr>
              <w:jc w:val="both"/>
              <w:rPr>
                <w:rFonts w:ascii="Tahoma" w:hAnsi="Tahoma" w:cs="Tahoma"/>
                <w:sz w:val="22"/>
                <w:szCs w:val="22"/>
              </w:rPr>
            </w:pPr>
            <w:r w:rsidRPr="002A2893">
              <w:rPr>
                <w:rFonts w:ascii="Tahoma" w:hAnsi="Tahoma" w:cs="Tahoma"/>
                <w:sz w:val="22"/>
                <w:szCs w:val="22"/>
              </w:rPr>
              <w:t>Matični broj: 03270777</w:t>
            </w:r>
          </w:p>
        </w:tc>
        <w:tc>
          <w:tcPr>
            <w:tcW w:w="3793" w:type="dxa"/>
          </w:tcPr>
          <w:p w:rsidR="00B070B4" w:rsidRPr="002A2893" w:rsidRDefault="00B070B4" w:rsidP="002351E8">
            <w:pPr>
              <w:jc w:val="both"/>
              <w:rPr>
                <w:rFonts w:ascii="Tahoma" w:hAnsi="Tahoma" w:cs="Tahoma"/>
                <w:sz w:val="22"/>
                <w:szCs w:val="22"/>
              </w:rPr>
            </w:pPr>
            <w:r w:rsidRPr="002A2893">
              <w:rPr>
                <w:rFonts w:ascii="Tahoma" w:hAnsi="Tahoma" w:cs="Tahoma"/>
                <w:sz w:val="22"/>
                <w:szCs w:val="22"/>
              </w:rPr>
              <w:t>Šifra djelatnosti: 8610</w:t>
            </w:r>
          </w:p>
        </w:tc>
      </w:tr>
      <w:tr w:rsidR="00B070B4" w:rsidRPr="002A2893" w:rsidTr="002351E8">
        <w:tc>
          <w:tcPr>
            <w:tcW w:w="4928" w:type="dxa"/>
          </w:tcPr>
          <w:p w:rsidR="00B070B4" w:rsidRPr="002A2893" w:rsidRDefault="00B070B4" w:rsidP="002351E8">
            <w:pPr>
              <w:jc w:val="both"/>
              <w:rPr>
                <w:rFonts w:ascii="Tahoma" w:hAnsi="Tahoma" w:cs="Tahoma"/>
                <w:sz w:val="22"/>
                <w:szCs w:val="22"/>
              </w:rPr>
            </w:pPr>
            <w:r w:rsidRPr="002A2893">
              <w:rPr>
                <w:rFonts w:ascii="Tahoma" w:hAnsi="Tahoma" w:cs="Tahoma"/>
                <w:sz w:val="22"/>
                <w:szCs w:val="22"/>
              </w:rPr>
              <w:t>OIB: 46377257342</w:t>
            </w:r>
          </w:p>
        </w:tc>
        <w:tc>
          <w:tcPr>
            <w:tcW w:w="3793" w:type="dxa"/>
          </w:tcPr>
          <w:p w:rsidR="00B070B4" w:rsidRPr="002A2893" w:rsidRDefault="00B070B4" w:rsidP="002351E8">
            <w:pPr>
              <w:jc w:val="both"/>
              <w:rPr>
                <w:rFonts w:ascii="Tahoma" w:hAnsi="Tahoma" w:cs="Tahoma"/>
                <w:sz w:val="22"/>
                <w:szCs w:val="22"/>
              </w:rPr>
            </w:pPr>
            <w:r w:rsidRPr="002A2893">
              <w:rPr>
                <w:rFonts w:ascii="Tahoma" w:hAnsi="Tahoma" w:cs="Tahoma"/>
                <w:sz w:val="22"/>
                <w:szCs w:val="22"/>
              </w:rPr>
              <w:t>Oznaka razdoblja: 2024-12</w:t>
            </w:r>
          </w:p>
        </w:tc>
      </w:tr>
    </w:tbl>
    <w:p w:rsidR="00B070B4" w:rsidRPr="002A2893" w:rsidRDefault="00B070B4" w:rsidP="00B070B4">
      <w:pPr>
        <w:jc w:val="both"/>
        <w:rPr>
          <w:rFonts w:ascii="Tahoma" w:hAnsi="Tahoma" w:cs="Tahoma"/>
          <w:sz w:val="22"/>
          <w:szCs w:val="22"/>
        </w:rPr>
      </w:pPr>
    </w:p>
    <w:p w:rsidR="00B070B4" w:rsidRDefault="00B070B4" w:rsidP="00B070B4">
      <w:pPr>
        <w:jc w:val="both"/>
        <w:rPr>
          <w:rFonts w:ascii="Tahoma" w:hAnsi="Tahoma" w:cs="Tahoma"/>
          <w:sz w:val="22"/>
          <w:szCs w:val="22"/>
        </w:rPr>
      </w:pPr>
      <w:r w:rsidRPr="002A2893">
        <w:rPr>
          <w:rFonts w:ascii="Tahoma" w:hAnsi="Tahoma" w:cs="Tahoma"/>
          <w:sz w:val="22"/>
          <w:szCs w:val="22"/>
        </w:rPr>
        <w:t>Zagreb, 31. siječnja 2025.</w:t>
      </w:r>
    </w:p>
    <w:p w:rsidR="00B070B4" w:rsidRPr="002A2893" w:rsidRDefault="00B070B4" w:rsidP="00B070B4">
      <w:pPr>
        <w:jc w:val="both"/>
        <w:rPr>
          <w:rFonts w:ascii="Tahoma" w:hAnsi="Tahoma" w:cs="Tahoma"/>
          <w:sz w:val="22"/>
          <w:szCs w:val="22"/>
        </w:rPr>
      </w:pPr>
    </w:p>
    <w:p w:rsidR="00B070B4" w:rsidRPr="002A2893" w:rsidRDefault="00B070B4" w:rsidP="00B070B4">
      <w:pPr>
        <w:jc w:val="both"/>
        <w:rPr>
          <w:rFonts w:ascii="Tahoma" w:hAnsi="Tahoma" w:cs="Tahoma"/>
          <w:sz w:val="22"/>
          <w:szCs w:val="22"/>
        </w:rPr>
      </w:pPr>
    </w:p>
    <w:p w:rsidR="00B070B4" w:rsidRPr="004E687E" w:rsidRDefault="00B070B4" w:rsidP="00B070B4">
      <w:pPr>
        <w:pStyle w:val="Heading3"/>
        <w:ind w:left="720"/>
        <w:rPr>
          <w:rFonts w:ascii="Tahoma" w:hAnsi="Tahoma" w:cs="Tahoma"/>
          <w:sz w:val="28"/>
          <w:szCs w:val="28"/>
        </w:rPr>
      </w:pPr>
      <w:r w:rsidRPr="002A2893">
        <w:rPr>
          <w:rFonts w:ascii="Tahoma" w:hAnsi="Tahoma" w:cs="Tahoma"/>
          <w:sz w:val="28"/>
          <w:szCs w:val="28"/>
        </w:rPr>
        <w:t xml:space="preserve">Bilješke uz financijske izvještaje za razdoblje </w:t>
      </w:r>
      <w:r>
        <w:rPr>
          <w:rFonts w:ascii="Tahoma" w:hAnsi="Tahoma" w:cs="Tahoma"/>
          <w:sz w:val="28"/>
          <w:szCs w:val="28"/>
        </w:rPr>
        <w:t>od 1. siječnja do 31. prosin</w:t>
      </w:r>
      <w:r w:rsidRPr="002A2893">
        <w:rPr>
          <w:rFonts w:ascii="Tahoma" w:hAnsi="Tahoma" w:cs="Tahoma"/>
          <w:sz w:val="28"/>
          <w:szCs w:val="28"/>
        </w:rPr>
        <w:t>c</w:t>
      </w:r>
      <w:r>
        <w:rPr>
          <w:rFonts w:ascii="Tahoma" w:hAnsi="Tahoma" w:cs="Tahoma"/>
          <w:sz w:val="28"/>
          <w:szCs w:val="28"/>
        </w:rPr>
        <w:t>a</w:t>
      </w:r>
      <w:r w:rsidRPr="002A2893">
        <w:rPr>
          <w:rFonts w:ascii="Tahoma" w:hAnsi="Tahoma" w:cs="Tahoma"/>
          <w:sz w:val="28"/>
          <w:szCs w:val="28"/>
        </w:rPr>
        <w:t xml:space="preserve"> 2024. godine</w:t>
      </w:r>
    </w:p>
    <w:p w:rsidR="00B070B4" w:rsidRPr="004E687E" w:rsidRDefault="00B070B4" w:rsidP="00B070B4"/>
    <w:p w:rsidR="00B070B4" w:rsidRPr="004E687E" w:rsidRDefault="00B070B4" w:rsidP="00B070B4">
      <w:pPr>
        <w:jc w:val="both"/>
        <w:rPr>
          <w:rFonts w:ascii="Tahoma" w:hAnsi="Tahoma" w:cs="Tahoma"/>
          <w:sz w:val="22"/>
          <w:szCs w:val="22"/>
        </w:rPr>
      </w:pPr>
      <w:r w:rsidRPr="004E687E">
        <w:rPr>
          <w:rFonts w:ascii="Tahoma" w:hAnsi="Tahoma" w:cs="Tahoma"/>
          <w:sz w:val="22"/>
          <w:szCs w:val="22"/>
        </w:rPr>
        <w:t xml:space="preserve">Bilješke uz financijske izvještaje za </w:t>
      </w:r>
      <w:r>
        <w:rPr>
          <w:rFonts w:ascii="Tahoma" w:hAnsi="Tahoma" w:cs="Tahoma"/>
          <w:sz w:val="22"/>
          <w:szCs w:val="22"/>
        </w:rPr>
        <w:t>razdoblje od 1. siječnja do 31. prosinca 2024</w:t>
      </w:r>
      <w:r w:rsidRPr="004E687E">
        <w:rPr>
          <w:rFonts w:ascii="Tahoma" w:hAnsi="Tahoma" w:cs="Tahoma"/>
          <w:sz w:val="22"/>
          <w:szCs w:val="22"/>
        </w:rPr>
        <w:t xml:space="preserve">. godine izrađene su sukladno Pravilniku o financijskom izvještavanju u proračunskom računovodstvu </w:t>
      </w:r>
      <w:r w:rsidRPr="007A1C80">
        <w:rPr>
          <w:rFonts w:ascii="Tahoma" w:hAnsi="Tahoma" w:cs="Tahoma"/>
          <w:sz w:val="22"/>
          <w:szCs w:val="22"/>
        </w:rPr>
        <w:t xml:space="preserve">(NN 37/22) </w:t>
      </w:r>
      <w:r w:rsidRPr="004E687E">
        <w:rPr>
          <w:rFonts w:ascii="Tahoma" w:hAnsi="Tahoma" w:cs="Tahoma"/>
          <w:sz w:val="22"/>
          <w:szCs w:val="22"/>
        </w:rPr>
        <w:t>kao sastavni dio financijskih izvještaja za predmetno razdoblje.</w:t>
      </w:r>
    </w:p>
    <w:p w:rsidR="00B070B4" w:rsidRPr="004E687E" w:rsidRDefault="00B070B4" w:rsidP="00B070B4">
      <w:pPr>
        <w:jc w:val="both"/>
        <w:rPr>
          <w:rFonts w:ascii="Tahoma" w:hAnsi="Tahoma" w:cs="Tahoma"/>
          <w:sz w:val="22"/>
          <w:szCs w:val="22"/>
        </w:rPr>
      </w:pPr>
    </w:p>
    <w:p w:rsidR="00B070B4" w:rsidRPr="004E687E" w:rsidRDefault="00B070B4" w:rsidP="00B070B4">
      <w:pPr>
        <w:jc w:val="both"/>
        <w:rPr>
          <w:rFonts w:ascii="Tahoma" w:hAnsi="Tahoma" w:cs="Tahoma"/>
          <w:sz w:val="22"/>
          <w:szCs w:val="22"/>
        </w:rPr>
      </w:pPr>
    </w:p>
    <w:p w:rsidR="00B070B4" w:rsidRPr="004E687E" w:rsidRDefault="00B070B4" w:rsidP="00B070B4">
      <w:pPr>
        <w:pStyle w:val="ListParagraph"/>
        <w:numPr>
          <w:ilvl w:val="0"/>
          <w:numId w:val="7"/>
        </w:numPr>
        <w:ind w:left="709" w:hanging="709"/>
        <w:jc w:val="both"/>
        <w:rPr>
          <w:rFonts w:ascii="Tahoma" w:hAnsi="Tahoma" w:cs="Tahoma"/>
          <w:b/>
          <w:sz w:val="22"/>
          <w:szCs w:val="22"/>
        </w:rPr>
      </w:pPr>
      <w:r w:rsidRPr="004E687E">
        <w:rPr>
          <w:rFonts w:ascii="Tahoma" w:hAnsi="Tahoma" w:cs="Tahoma"/>
          <w:b/>
          <w:sz w:val="22"/>
          <w:szCs w:val="22"/>
        </w:rPr>
        <w:t xml:space="preserve">IZVJEŠTAJ O PRIHODIMA I RASHODIMA, PRIMICIMA I IZDACIMA ZA RAZDOBLJE OD </w:t>
      </w:r>
      <w:r>
        <w:rPr>
          <w:rFonts w:ascii="Tahoma" w:hAnsi="Tahoma" w:cs="Tahoma"/>
          <w:b/>
          <w:sz w:val="22"/>
          <w:szCs w:val="22"/>
        </w:rPr>
        <w:t>1. SIJEČNJA DO 31. PROSINCA 2024</w:t>
      </w:r>
      <w:r w:rsidRPr="004E687E">
        <w:rPr>
          <w:rFonts w:ascii="Tahoma" w:hAnsi="Tahoma" w:cs="Tahoma"/>
          <w:b/>
          <w:sz w:val="22"/>
          <w:szCs w:val="22"/>
        </w:rPr>
        <w:t>. GODINE</w:t>
      </w:r>
    </w:p>
    <w:p w:rsidR="00B070B4" w:rsidRPr="004E687E" w:rsidRDefault="00B070B4" w:rsidP="00B070B4">
      <w:pPr>
        <w:jc w:val="both"/>
        <w:rPr>
          <w:rFonts w:ascii="Tahoma" w:hAnsi="Tahoma" w:cs="Tahoma"/>
          <w:sz w:val="22"/>
          <w:szCs w:val="22"/>
        </w:rPr>
      </w:pPr>
    </w:p>
    <w:p w:rsidR="00B070B4" w:rsidRDefault="00B070B4" w:rsidP="00B070B4">
      <w:pPr>
        <w:pStyle w:val="Heading2"/>
        <w:numPr>
          <w:ilvl w:val="0"/>
          <w:numId w:val="1"/>
        </w:numPr>
        <w:ind w:hanging="720"/>
        <w:rPr>
          <w:rFonts w:ascii="Tahoma" w:hAnsi="Tahoma" w:cs="Tahoma"/>
          <w:sz w:val="22"/>
          <w:szCs w:val="22"/>
        </w:rPr>
      </w:pPr>
      <w:r w:rsidRPr="004E687E">
        <w:rPr>
          <w:rFonts w:ascii="Tahoma" w:hAnsi="Tahoma" w:cs="Tahoma"/>
          <w:sz w:val="22"/>
          <w:szCs w:val="22"/>
        </w:rPr>
        <w:t>PRIHODI</w:t>
      </w:r>
    </w:p>
    <w:p w:rsidR="00CE3CA4" w:rsidRPr="00CE3CA4" w:rsidRDefault="00CE3CA4" w:rsidP="00CE3CA4"/>
    <w:p w:rsidR="00B070B4" w:rsidRPr="004E687E" w:rsidRDefault="00B070B4" w:rsidP="00B070B4">
      <w:pPr>
        <w:pStyle w:val="ListParagraph"/>
        <w:numPr>
          <w:ilvl w:val="1"/>
          <w:numId w:val="1"/>
        </w:numPr>
        <w:tabs>
          <w:tab w:val="left" w:pos="0"/>
        </w:tabs>
        <w:ind w:left="709" w:hanging="709"/>
        <w:jc w:val="both"/>
        <w:rPr>
          <w:rFonts w:ascii="Tahoma" w:hAnsi="Tahoma" w:cs="Tahoma"/>
          <w:b/>
          <w:sz w:val="22"/>
          <w:szCs w:val="22"/>
        </w:rPr>
      </w:pPr>
      <w:r w:rsidRPr="004E687E">
        <w:rPr>
          <w:rFonts w:ascii="Tahoma" w:hAnsi="Tahoma" w:cs="Tahoma"/>
          <w:b/>
          <w:sz w:val="22"/>
          <w:szCs w:val="22"/>
        </w:rPr>
        <w:t>PRIHODI OD HRVATSKOG ZAVODA ZA ZDRAVSTVENO OSIGURANJE</w:t>
      </w:r>
    </w:p>
    <w:p w:rsidR="00B070B4" w:rsidRDefault="00B070B4" w:rsidP="00235F14">
      <w:pPr>
        <w:jc w:val="both"/>
        <w:rPr>
          <w:rFonts w:ascii="Tahoma" w:hAnsi="Tahoma" w:cs="Tahoma"/>
          <w:b/>
          <w:sz w:val="22"/>
          <w:szCs w:val="22"/>
          <w:u w:val="single"/>
        </w:rPr>
      </w:pPr>
    </w:p>
    <w:p w:rsidR="00235F14" w:rsidRPr="004E687E" w:rsidRDefault="00235F14" w:rsidP="00235F14">
      <w:pPr>
        <w:jc w:val="both"/>
        <w:rPr>
          <w:rFonts w:ascii="Tahoma" w:hAnsi="Tahoma" w:cs="Tahoma"/>
          <w:sz w:val="22"/>
          <w:szCs w:val="22"/>
        </w:rPr>
      </w:pPr>
      <w:r w:rsidRPr="006A2938">
        <w:rPr>
          <w:rFonts w:ascii="Tahoma" w:hAnsi="Tahoma" w:cs="Tahoma"/>
          <w:b/>
          <w:sz w:val="22"/>
          <w:szCs w:val="22"/>
          <w:u w:val="single"/>
        </w:rPr>
        <w:t>Ukupni prihodi od HZZO-a na temelju ugovornih obveza (</w:t>
      </w:r>
      <w:r w:rsidR="00320902" w:rsidRPr="006A2938">
        <w:rPr>
          <w:rFonts w:ascii="Tahoma" w:hAnsi="Tahoma" w:cs="Tahoma"/>
          <w:b/>
          <w:sz w:val="22"/>
          <w:szCs w:val="22"/>
          <w:u w:val="single"/>
        </w:rPr>
        <w:t>Š</w:t>
      </w:r>
      <w:r w:rsidRPr="006A2938">
        <w:rPr>
          <w:rFonts w:ascii="Tahoma" w:hAnsi="Tahoma" w:cs="Tahoma"/>
          <w:b/>
          <w:sz w:val="22"/>
          <w:szCs w:val="22"/>
          <w:u w:val="single"/>
        </w:rPr>
        <w:t>ifra 673)</w:t>
      </w:r>
      <w:r w:rsidRPr="006A2938">
        <w:rPr>
          <w:rFonts w:ascii="Tahoma" w:hAnsi="Tahoma" w:cs="Tahoma"/>
          <w:b/>
          <w:sz w:val="22"/>
          <w:szCs w:val="22"/>
        </w:rPr>
        <w:t xml:space="preserve"> </w:t>
      </w:r>
      <w:r w:rsidRPr="006A2938">
        <w:rPr>
          <w:rFonts w:ascii="Tahoma" w:hAnsi="Tahoma" w:cs="Tahoma"/>
          <w:sz w:val="22"/>
          <w:szCs w:val="22"/>
        </w:rPr>
        <w:t>u r</w:t>
      </w:r>
      <w:r w:rsidR="008B569A">
        <w:rPr>
          <w:rFonts w:ascii="Tahoma" w:hAnsi="Tahoma" w:cs="Tahoma"/>
          <w:sz w:val="22"/>
          <w:szCs w:val="22"/>
        </w:rPr>
        <w:t xml:space="preserve">azdoblju </w:t>
      </w:r>
      <w:r w:rsidR="00EB04B4">
        <w:rPr>
          <w:rFonts w:ascii="Tahoma" w:hAnsi="Tahoma" w:cs="Tahoma"/>
          <w:sz w:val="22"/>
          <w:szCs w:val="22"/>
        </w:rPr>
        <w:t xml:space="preserve">od </w:t>
      </w:r>
      <w:r w:rsidR="00960302" w:rsidRPr="00DF7F36">
        <w:rPr>
          <w:rFonts w:ascii="Tahoma" w:hAnsi="Tahoma" w:cs="Tahoma"/>
          <w:sz w:val="22"/>
          <w:szCs w:val="22"/>
        </w:rPr>
        <w:t>1. siječnja do 31. prosinca</w:t>
      </w:r>
      <w:r w:rsidR="008B569A">
        <w:rPr>
          <w:rFonts w:ascii="Tahoma" w:hAnsi="Tahoma" w:cs="Tahoma"/>
          <w:sz w:val="22"/>
          <w:szCs w:val="22"/>
        </w:rPr>
        <w:t xml:space="preserve"> </w:t>
      </w:r>
      <w:r w:rsidR="00CD6EC7" w:rsidRPr="006A2938">
        <w:rPr>
          <w:rFonts w:ascii="Tahoma" w:hAnsi="Tahoma" w:cs="Tahoma"/>
          <w:sz w:val="22"/>
          <w:szCs w:val="22"/>
        </w:rPr>
        <w:t>2024</w:t>
      </w:r>
      <w:r w:rsidRPr="006A2938">
        <w:rPr>
          <w:rFonts w:ascii="Tahoma" w:hAnsi="Tahoma" w:cs="Tahoma"/>
          <w:sz w:val="22"/>
          <w:szCs w:val="22"/>
        </w:rPr>
        <w:t xml:space="preserve">. godine </w:t>
      </w:r>
      <w:r w:rsidR="0098074E" w:rsidRPr="006A2938">
        <w:rPr>
          <w:rFonts w:ascii="Tahoma" w:hAnsi="Tahoma" w:cs="Tahoma"/>
          <w:sz w:val="22"/>
          <w:szCs w:val="22"/>
        </w:rPr>
        <w:t>iznose 475.556.179</w:t>
      </w:r>
      <w:r w:rsidR="00125622" w:rsidRPr="006A2938">
        <w:rPr>
          <w:rFonts w:ascii="Tahoma" w:hAnsi="Tahoma" w:cs="Tahoma"/>
          <w:sz w:val="22"/>
          <w:szCs w:val="22"/>
        </w:rPr>
        <w:t xml:space="preserve"> EUR</w:t>
      </w:r>
      <w:r w:rsidRPr="006A2938">
        <w:rPr>
          <w:rFonts w:ascii="Tahoma" w:hAnsi="Tahoma" w:cs="Tahoma"/>
          <w:sz w:val="22"/>
          <w:szCs w:val="22"/>
        </w:rPr>
        <w:t>.</w:t>
      </w:r>
      <w:r w:rsidRPr="004E687E">
        <w:rPr>
          <w:rFonts w:ascii="Tahoma" w:hAnsi="Tahoma" w:cs="Tahoma"/>
          <w:sz w:val="22"/>
          <w:szCs w:val="22"/>
        </w:rPr>
        <w:t xml:space="preserve"> </w:t>
      </w:r>
    </w:p>
    <w:p w:rsidR="00235F14" w:rsidRPr="004E687E" w:rsidRDefault="00235F14" w:rsidP="00235F14">
      <w:pPr>
        <w:jc w:val="both"/>
        <w:rPr>
          <w:rFonts w:ascii="Tahoma" w:hAnsi="Tahoma" w:cs="Tahoma"/>
          <w:sz w:val="22"/>
          <w:szCs w:val="22"/>
        </w:rPr>
      </w:pPr>
    </w:p>
    <w:p w:rsidR="00235F14" w:rsidRPr="004E687E" w:rsidRDefault="00235F14" w:rsidP="00235F14">
      <w:pPr>
        <w:jc w:val="both"/>
        <w:rPr>
          <w:rFonts w:ascii="Tahoma" w:hAnsi="Tahoma" w:cs="Tahoma"/>
          <w:sz w:val="22"/>
          <w:szCs w:val="22"/>
        </w:rPr>
      </w:pPr>
      <w:r w:rsidRPr="00DF7F36">
        <w:rPr>
          <w:rFonts w:ascii="Tahoma" w:hAnsi="Tahoma" w:cs="Tahoma"/>
          <w:sz w:val="22"/>
          <w:szCs w:val="22"/>
        </w:rPr>
        <w:t xml:space="preserve">Povećanje prihoda od HZZO-a na temelju ugovornih obveza u </w:t>
      </w:r>
      <w:r w:rsidR="0098074E" w:rsidRPr="00DF7F36">
        <w:rPr>
          <w:rFonts w:ascii="Tahoma" w:hAnsi="Tahoma" w:cs="Tahoma"/>
          <w:sz w:val="22"/>
          <w:szCs w:val="22"/>
        </w:rPr>
        <w:t xml:space="preserve">razdoblju </w:t>
      </w:r>
      <w:r w:rsidR="00DF7F36" w:rsidRPr="00DF7F36">
        <w:rPr>
          <w:rFonts w:ascii="Tahoma" w:hAnsi="Tahoma" w:cs="Tahoma"/>
          <w:sz w:val="22"/>
          <w:szCs w:val="22"/>
        </w:rPr>
        <w:t>od 1. siječnja do 31. prosinca 2024. godine</w:t>
      </w:r>
      <w:r w:rsidRPr="00DF7F36">
        <w:rPr>
          <w:rFonts w:ascii="Tahoma" w:hAnsi="Tahoma" w:cs="Tahoma"/>
          <w:sz w:val="22"/>
          <w:szCs w:val="22"/>
        </w:rPr>
        <w:t xml:space="preserve"> u odnosu na isto razdob</w:t>
      </w:r>
      <w:r w:rsidR="0098074E" w:rsidRPr="00DF7F36">
        <w:rPr>
          <w:rFonts w:ascii="Tahoma" w:hAnsi="Tahoma" w:cs="Tahoma"/>
          <w:sz w:val="22"/>
          <w:szCs w:val="22"/>
        </w:rPr>
        <w:t>lje prethodne godine iznosi 8,4</w:t>
      </w:r>
      <w:r w:rsidRPr="00DF7F36">
        <w:rPr>
          <w:rFonts w:ascii="Tahoma" w:hAnsi="Tahoma" w:cs="Tahoma"/>
          <w:sz w:val="22"/>
          <w:szCs w:val="22"/>
        </w:rPr>
        <w:t>%.</w:t>
      </w:r>
    </w:p>
    <w:p w:rsidR="00235F14" w:rsidRPr="004E687E" w:rsidRDefault="00235F14" w:rsidP="00235F14">
      <w:pPr>
        <w:jc w:val="both"/>
        <w:rPr>
          <w:rFonts w:ascii="Tahoma" w:hAnsi="Tahoma" w:cs="Tahoma"/>
          <w:sz w:val="22"/>
          <w:szCs w:val="22"/>
        </w:rPr>
      </w:pPr>
    </w:p>
    <w:tbl>
      <w:tblPr>
        <w:tblStyle w:val="TableGrid"/>
        <w:tblW w:w="9493" w:type="dxa"/>
        <w:tblLook w:val="04A0" w:firstRow="1" w:lastRow="0" w:firstColumn="1" w:lastColumn="0" w:noHBand="0" w:noVBand="1"/>
      </w:tblPr>
      <w:tblGrid>
        <w:gridCol w:w="2122"/>
        <w:gridCol w:w="2409"/>
        <w:gridCol w:w="2268"/>
        <w:gridCol w:w="2694"/>
      </w:tblGrid>
      <w:tr w:rsidR="00235F14" w:rsidRPr="004E687E" w:rsidTr="00222CA9">
        <w:tc>
          <w:tcPr>
            <w:tcW w:w="2122" w:type="dxa"/>
            <w:vMerge w:val="restart"/>
            <w:vAlign w:val="center"/>
          </w:tcPr>
          <w:p w:rsidR="00235F14" w:rsidRPr="004E687E" w:rsidRDefault="00CE5272" w:rsidP="00336085">
            <w:pPr>
              <w:ind w:right="-41"/>
              <w:jc w:val="center"/>
              <w:rPr>
                <w:rFonts w:ascii="Tahoma" w:hAnsi="Tahoma" w:cs="Tahoma"/>
                <w:sz w:val="18"/>
                <w:szCs w:val="18"/>
              </w:rPr>
            </w:pPr>
            <w:r w:rsidRPr="006A2938">
              <w:rPr>
                <w:rFonts w:ascii="Tahoma" w:hAnsi="Tahoma" w:cs="Tahoma"/>
                <w:b/>
                <w:sz w:val="20"/>
                <w:szCs w:val="20"/>
              </w:rPr>
              <w:t>Prihodi</w:t>
            </w:r>
            <w:r w:rsidR="00235F14" w:rsidRPr="006A2938">
              <w:rPr>
                <w:rFonts w:ascii="Tahoma" w:hAnsi="Tahoma" w:cs="Tahoma"/>
                <w:b/>
                <w:sz w:val="20"/>
                <w:szCs w:val="20"/>
              </w:rPr>
              <w:t xml:space="preserve"> od HZZO-a na temelju ugovornih obveza</w:t>
            </w:r>
            <w:r w:rsidR="00235F14" w:rsidRPr="004E687E">
              <w:rPr>
                <w:rFonts w:ascii="Tahoma" w:hAnsi="Tahoma" w:cs="Tahoma"/>
                <w:sz w:val="18"/>
                <w:szCs w:val="18"/>
              </w:rPr>
              <w:t xml:space="preserve"> </w:t>
            </w:r>
          </w:p>
        </w:tc>
        <w:tc>
          <w:tcPr>
            <w:tcW w:w="2409"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Izvršenje</w:t>
            </w:r>
          </w:p>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202</w:t>
            </w:r>
            <w:r w:rsidR="00467494">
              <w:rPr>
                <w:rFonts w:ascii="Tahoma" w:hAnsi="Tahoma" w:cs="Tahoma"/>
                <w:b/>
                <w:sz w:val="22"/>
                <w:szCs w:val="22"/>
              </w:rPr>
              <w:t>3</w:t>
            </w:r>
          </w:p>
        </w:tc>
        <w:tc>
          <w:tcPr>
            <w:tcW w:w="2268"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 xml:space="preserve">Izvršenje </w:t>
            </w:r>
          </w:p>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202</w:t>
            </w:r>
            <w:r w:rsidR="00467494">
              <w:rPr>
                <w:rFonts w:ascii="Tahoma" w:hAnsi="Tahoma" w:cs="Tahoma"/>
                <w:b/>
                <w:sz w:val="22"/>
                <w:szCs w:val="22"/>
              </w:rPr>
              <w:t>4</w:t>
            </w:r>
          </w:p>
        </w:tc>
        <w:tc>
          <w:tcPr>
            <w:tcW w:w="2694"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Indeks</w:t>
            </w:r>
          </w:p>
          <w:p w:rsidR="00235F14" w:rsidRPr="004E687E" w:rsidRDefault="00467494" w:rsidP="00222CA9">
            <w:pPr>
              <w:jc w:val="center"/>
              <w:rPr>
                <w:rFonts w:ascii="Tahoma" w:hAnsi="Tahoma" w:cs="Tahoma"/>
                <w:b/>
                <w:sz w:val="22"/>
                <w:szCs w:val="22"/>
              </w:rPr>
            </w:pPr>
            <w:r>
              <w:rPr>
                <w:rFonts w:ascii="Tahoma" w:hAnsi="Tahoma" w:cs="Tahoma"/>
                <w:b/>
                <w:sz w:val="22"/>
                <w:szCs w:val="22"/>
              </w:rPr>
              <w:t>2024</w:t>
            </w:r>
            <w:r w:rsidR="00336085" w:rsidRPr="004E687E">
              <w:rPr>
                <w:rFonts w:ascii="Tahoma" w:hAnsi="Tahoma" w:cs="Tahoma"/>
                <w:b/>
                <w:sz w:val="22"/>
                <w:szCs w:val="22"/>
              </w:rPr>
              <w:t>/202</w:t>
            </w:r>
            <w:r>
              <w:rPr>
                <w:rFonts w:ascii="Tahoma" w:hAnsi="Tahoma" w:cs="Tahoma"/>
                <w:b/>
                <w:sz w:val="22"/>
                <w:szCs w:val="22"/>
              </w:rPr>
              <w:t>3</w:t>
            </w:r>
          </w:p>
        </w:tc>
      </w:tr>
      <w:tr w:rsidR="00235F14" w:rsidRPr="004E687E" w:rsidTr="00222CA9">
        <w:trPr>
          <w:trHeight w:val="461"/>
        </w:trPr>
        <w:tc>
          <w:tcPr>
            <w:tcW w:w="2122" w:type="dxa"/>
            <w:vMerge/>
          </w:tcPr>
          <w:p w:rsidR="00235F14" w:rsidRPr="004E687E" w:rsidRDefault="00235F14" w:rsidP="00222CA9">
            <w:pPr>
              <w:jc w:val="both"/>
              <w:rPr>
                <w:rFonts w:ascii="Tahoma" w:hAnsi="Tahoma" w:cs="Tahoma"/>
                <w:b/>
                <w:sz w:val="22"/>
                <w:szCs w:val="22"/>
              </w:rPr>
            </w:pPr>
          </w:p>
        </w:tc>
        <w:tc>
          <w:tcPr>
            <w:tcW w:w="2409" w:type="dxa"/>
            <w:shd w:val="clear" w:color="auto" w:fill="auto"/>
            <w:vAlign w:val="center"/>
          </w:tcPr>
          <w:p w:rsidR="00235F14" w:rsidRPr="004E687E" w:rsidRDefault="00CD6EC7" w:rsidP="00222CA9">
            <w:pPr>
              <w:jc w:val="right"/>
              <w:rPr>
                <w:rFonts w:ascii="Tahoma" w:hAnsi="Tahoma" w:cs="Tahoma"/>
                <w:b/>
                <w:color w:val="00B0F0"/>
                <w:sz w:val="22"/>
                <w:szCs w:val="22"/>
              </w:rPr>
            </w:pPr>
            <w:r w:rsidRPr="00CD6EC7">
              <w:rPr>
                <w:rFonts w:ascii="Tahoma" w:hAnsi="Tahoma" w:cs="Tahoma"/>
                <w:b/>
                <w:sz w:val="22"/>
                <w:szCs w:val="22"/>
              </w:rPr>
              <w:t>438.732.330</w:t>
            </w:r>
          </w:p>
        </w:tc>
        <w:tc>
          <w:tcPr>
            <w:tcW w:w="2268" w:type="dxa"/>
            <w:shd w:val="clear" w:color="auto" w:fill="auto"/>
            <w:vAlign w:val="center"/>
          </w:tcPr>
          <w:p w:rsidR="00235F14" w:rsidRPr="004E687E" w:rsidRDefault="00CD6EC7" w:rsidP="00222CA9">
            <w:pPr>
              <w:jc w:val="right"/>
              <w:rPr>
                <w:rFonts w:ascii="Tahoma" w:hAnsi="Tahoma" w:cs="Tahoma"/>
                <w:b/>
                <w:color w:val="00B0F0"/>
                <w:sz w:val="22"/>
                <w:szCs w:val="22"/>
              </w:rPr>
            </w:pPr>
            <w:r>
              <w:rPr>
                <w:rFonts w:ascii="Tahoma" w:hAnsi="Tahoma" w:cs="Tahoma"/>
                <w:b/>
                <w:sz w:val="22"/>
                <w:szCs w:val="22"/>
              </w:rPr>
              <w:t>475.556.179</w:t>
            </w:r>
          </w:p>
        </w:tc>
        <w:tc>
          <w:tcPr>
            <w:tcW w:w="2694" w:type="dxa"/>
            <w:vAlign w:val="center"/>
          </w:tcPr>
          <w:p w:rsidR="00235F14" w:rsidRPr="004E687E" w:rsidRDefault="00CD6EC7" w:rsidP="00222CA9">
            <w:pPr>
              <w:jc w:val="right"/>
              <w:rPr>
                <w:rFonts w:ascii="Tahoma" w:hAnsi="Tahoma" w:cs="Tahoma"/>
                <w:b/>
                <w:sz w:val="22"/>
                <w:szCs w:val="22"/>
              </w:rPr>
            </w:pPr>
            <w:r>
              <w:rPr>
                <w:rFonts w:ascii="Tahoma" w:hAnsi="Tahoma" w:cs="Tahoma"/>
                <w:b/>
                <w:sz w:val="22"/>
                <w:szCs w:val="22"/>
              </w:rPr>
              <w:t>1,08</w:t>
            </w:r>
          </w:p>
        </w:tc>
      </w:tr>
    </w:tbl>
    <w:p w:rsidR="00F97B6A" w:rsidRDefault="00F97B6A" w:rsidP="00235F14">
      <w:pPr>
        <w:jc w:val="both"/>
        <w:rPr>
          <w:rFonts w:ascii="Tahoma" w:hAnsi="Tahoma" w:cs="Tahoma"/>
          <w:sz w:val="22"/>
          <w:szCs w:val="22"/>
        </w:rPr>
      </w:pPr>
    </w:p>
    <w:p w:rsidR="00F97B6A" w:rsidRPr="0036378E" w:rsidRDefault="00F97B6A" w:rsidP="00235F14">
      <w:pPr>
        <w:jc w:val="both"/>
        <w:rPr>
          <w:rFonts w:ascii="Tahoma" w:hAnsi="Tahoma" w:cs="Tahoma"/>
          <w:sz w:val="22"/>
          <w:szCs w:val="22"/>
        </w:rPr>
      </w:pPr>
    </w:p>
    <w:p w:rsidR="007D464E" w:rsidRPr="00B81347" w:rsidRDefault="007D464E" w:rsidP="007D464E">
      <w:pPr>
        <w:pStyle w:val="ListParagraph"/>
        <w:numPr>
          <w:ilvl w:val="1"/>
          <w:numId w:val="1"/>
        </w:numPr>
        <w:shd w:val="clear" w:color="auto" w:fill="FFFFFF"/>
        <w:ind w:left="709" w:hanging="709"/>
        <w:jc w:val="both"/>
        <w:rPr>
          <w:rFonts w:ascii="Tahoma" w:hAnsi="Tahoma" w:cs="Tahoma"/>
          <w:b/>
          <w:sz w:val="22"/>
          <w:szCs w:val="22"/>
        </w:rPr>
      </w:pPr>
      <w:r w:rsidRPr="00B81347">
        <w:rPr>
          <w:rFonts w:ascii="Tahoma" w:hAnsi="Tahoma" w:cs="Tahoma"/>
          <w:b/>
          <w:sz w:val="22"/>
          <w:szCs w:val="22"/>
        </w:rPr>
        <w:t>PRIJENOSI IZMEĐU PRORAČUNSKIH KORISNIKA ISTOG PRORAČUNA</w:t>
      </w:r>
    </w:p>
    <w:p w:rsidR="007D464E" w:rsidRPr="00B81347" w:rsidRDefault="007D464E" w:rsidP="007D464E">
      <w:pPr>
        <w:jc w:val="both"/>
        <w:rPr>
          <w:rFonts w:ascii="Tahoma" w:hAnsi="Tahoma" w:cs="Tahoma"/>
          <w:b/>
          <w:sz w:val="22"/>
          <w:szCs w:val="22"/>
          <w:u w:val="single"/>
        </w:rPr>
      </w:pPr>
    </w:p>
    <w:p w:rsidR="007D464E" w:rsidRPr="00B81347" w:rsidRDefault="007D464E" w:rsidP="007D464E">
      <w:pPr>
        <w:jc w:val="both"/>
        <w:rPr>
          <w:rFonts w:ascii="Tahoma" w:hAnsi="Tahoma" w:cs="Tahoma"/>
          <w:sz w:val="22"/>
          <w:szCs w:val="22"/>
        </w:rPr>
      </w:pPr>
      <w:r w:rsidRPr="00B81347">
        <w:rPr>
          <w:rFonts w:ascii="Tahoma" w:hAnsi="Tahoma" w:cs="Tahoma"/>
          <w:b/>
          <w:sz w:val="22"/>
          <w:szCs w:val="22"/>
          <w:u w:val="single"/>
        </w:rPr>
        <w:t>Prijenosi između proračunskih korisnika istog proračuna (šifra 639)</w:t>
      </w:r>
      <w:r w:rsidRPr="00B81347">
        <w:rPr>
          <w:rFonts w:ascii="Tahoma" w:hAnsi="Tahoma" w:cs="Tahoma"/>
          <w:sz w:val="22"/>
          <w:szCs w:val="22"/>
        </w:rPr>
        <w:t xml:space="preserve"> u razdoblju </w:t>
      </w:r>
      <w:r w:rsidR="00B81347" w:rsidRPr="00B81347">
        <w:rPr>
          <w:rFonts w:ascii="Tahoma" w:hAnsi="Tahoma" w:cs="Tahoma"/>
          <w:sz w:val="22"/>
          <w:szCs w:val="22"/>
        </w:rPr>
        <w:t xml:space="preserve">od 1. siječnja do 31. prosinca 2024. godine </w:t>
      </w:r>
      <w:r w:rsidRPr="00B81347">
        <w:rPr>
          <w:rFonts w:ascii="Tahoma" w:hAnsi="Tahoma" w:cs="Tahoma"/>
          <w:sz w:val="22"/>
          <w:szCs w:val="22"/>
        </w:rPr>
        <w:t>iznose 394.878 EUR. Sukladno Odluci Ministarstva zdravstva o osiguravanju financijskih sreds</w:t>
      </w:r>
      <w:r w:rsidR="006B7903">
        <w:rPr>
          <w:rFonts w:ascii="Tahoma" w:hAnsi="Tahoma" w:cs="Tahoma"/>
          <w:sz w:val="22"/>
          <w:szCs w:val="22"/>
        </w:rPr>
        <w:t>tava za provedbu projekta C5.1.</w:t>
      </w:r>
      <w:r w:rsidRPr="00B81347">
        <w:rPr>
          <w:rFonts w:ascii="Tahoma" w:hAnsi="Tahoma" w:cs="Tahoma"/>
          <w:sz w:val="22"/>
          <w:szCs w:val="22"/>
        </w:rPr>
        <w:t xml:space="preserve">R4-I1 Centralna priprava svih </w:t>
      </w:r>
      <w:proofErr w:type="spellStart"/>
      <w:r w:rsidRPr="00B81347">
        <w:rPr>
          <w:rFonts w:ascii="Tahoma" w:hAnsi="Tahoma" w:cs="Tahoma"/>
          <w:sz w:val="22"/>
          <w:szCs w:val="22"/>
        </w:rPr>
        <w:t>parenteralnih</w:t>
      </w:r>
      <w:proofErr w:type="spellEnd"/>
      <w:r w:rsidRPr="00B81347">
        <w:rPr>
          <w:rFonts w:ascii="Tahoma" w:hAnsi="Tahoma" w:cs="Tahoma"/>
          <w:sz w:val="22"/>
          <w:szCs w:val="22"/>
        </w:rPr>
        <w:t xml:space="preserve"> pripravaka u 8 hrvatskih bolnica, KLASA: 500-01/22-01/20, URBROJ: 534-03-2-1/1-23-13 od 6.12.2023., Ministarstvo zdravstva je izvršilo prijenos sredstava KBC-u Zagreb u iznosu od 394.878 EUR.</w:t>
      </w:r>
    </w:p>
    <w:p w:rsidR="007D464E" w:rsidRPr="00CE0EC7" w:rsidRDefault="007D464E" w:rsidP="007D464E">
      <w:pPr>
        <w:jc w:val="both"/>
        <w:rPr>
          <w:rFonts w:ascii="Tahoma" w:hAnsi="Tahoma" w:cs="Tahoma"/>
          <w:sz w:val="22"/>
          <w:szCs w:val="22"/>
          <w:highlight w:val="lightGray"/>
        </w:rPr>
      </w:pPr>
    </w:p>
    <w:tbl>
      <w:tblPr>
        <w:tblStyle w:val="TableGrid"/>
        <w:tblW w:w="0" w:type="auto"/>
        <w:tblLook w:val="04A0" w:firstRow="1" w:lastRow="0" w:firstColumn="1" w:lastColumn="0" w:noHBand="0" w:noVBand="1"/>
      </w:tblPr>
      <w:tblGrid>
        <w:gridCol w:w="2552"/>
        <w:gridCol w:w="1838"/>
        <w:gridCol w:w="1984"/>
        <w:gridCol w:w="2552"/>
      </w:tblGrid>
      <w:tr w:rsidR="007D464E" w:rsidRPr="00CE0EC7" w:rsidTr="007A1C80">
        <w:trPr>
          <w:trHeight w:val="609"/>
        </w:trPr>
        <w:tc>
          <w:tcPr>
            <w:tcW w:w="2552" w:type="dxa"/>
            <w:vMerge w:val="restart"/>
            <w:vAlign w:val="center"/>
          </w:tcPr>
          <w:p w:rsidR="007D464E" w:rsidRPr="00B81347" w:rsidRDefault="007D464E" w:rsidP="007A1C80">
            <w:pPr>
              <w:ind w:right="-41"/>
              <w:jc w:val="center"/>
              <w:rPr>
                <w:rFonts w:ascii="Tahoma" w:hAnsi="Tahoma" w:cs="Tahoma"/>
                <w:b/>
                <w:sz w:val="20"/>
                <w:szCs w:val="20"/>
              </w:rPr>
            </w:pPr>
            <w:r w:rsidRPr="00B81347">
              <w:rPr>
                <w:rFonts w:ascii="Tahoma" w:hAnsi="Tahoma" w:cs="Tahoma"/>
                <w:b/>
                <w:sz w:val="20"/>
                <w:szCs w:val="20"/>
              </w:rPr>
              <w:t>Prijenosi između proračunskih korisnika istoga proračuna</w:t>
            </w:r>
          </w:p>
        </w:tc>
        <w:tc>
          <w:tcPr>
            <w:tcW w:w="1838" w:type="dxa"/>
            <w:vAlign w:val="center"/>
          </w:tcPr>
          <w:p w:rsidR="007D464E" w:rsidRPr="00B81347" w:rsidRDefault="007D464E" w:rsidP="007A1C80">
            <w:pPr>
              <w:jc w:val="center"/>
              <w:rPr>
                <w:rFonts w:ascii="Tahoma" w:hAnsi="Tahoma" w:cs="Tahoma"/>
                <w:b/>
                <w:sz w:val="22"/>
                <w:szCs w:val="22"/>
              </w:rPr>
            </w:pPr>
            <w:r w:rsidRPr="00B81347">
              <w:rPr>
                <w:rFonts w:ascii="Tahoma" w:hAnsi="Tahoma" w:cs="Tahoma"/>
                <w:b/>
                <w:sz w:val="22"/>
                <w:szCs w:val="22"/>
              </w:rPr>
              <w:t>Izvršenje</w:t>
            </w:r>
          </w:p>
          <w:p w:rsidR="007D464E" w:rsidRPr="00B81347" w:rsidRDefault="007D464E" w:rsidP="007A1C80">
            <w:pPr>
              <w:jc w:val="center"/>
              <w:rPr>
                <w:rFonts w:ascii="Tahoma" w:hAnsi="Tahoma" w:cs="Tahoma"/>
                <w:b/>
                <w:sz w:val="22"/>
                <w:szCs w:val="22"/>
              </w:rPr>
            </w:pPr>
            <w:r w:rsidRPr="00B81347">
              <w:rPr>
                <w:rFonts w:ascii="Tahoma" w:hAnsi="Tahoma" w:cs="Tahoma"/>
                <w:b/>
                <w:sz w:val="22"/>
                <w:szCs w:val="22"/>
              </w:rPr>
              <w:t>2023</w:t>
            </w:r>
          </w:p>
        </w:tc>
        <w:tc>
          <w:tcPr>
            <w:tcW w:w="1984" w:type="dxa"/>
            <w:vAlign w:val="center"/>
          </w:tcPr>
          <w:p w:rsidR="007D464E" w:rsidRPr="00B81347" w:rsidRDefault="007D464E" w:rsidP="007A1C80">
            <w:pPr>
              <w:jc w:val="center"/>
              <w:rPr>
                <w:rFonts w:ascii="Tahoma" w:hAnsi="Tahoma" w:cs="Tahoma"/>
                <w:b/>
                <w:sz w:val="22"/>
                <w:szCs w:val="22"/>
              </w:rPr>
            </w:pPr>
            <w:r w:rsidRPr="00B81347">
              <w:rPr>
                <w:rFonts w:ascii="Tahoma" w:hAnsi="Tahoma" w:cs="Tahoma"/>
                <w:b/>
                <w:sz w:val="22"/>
                <w:szCs w:val="22"/>
              </w:rPr>
              <w:t>Izvršenje</w:t>
            </w:r>
          </w:p>
          <w:p w:rsidR="007D464E" w:rsidRPr="00B81347" w:rsidRDefault="007D464E" w:rsidP="007A1C80">
            <w:pPr>
              <w:jc w:val="center"/>
              <w:rPr>
                <w:rFonts w:ascii="Tahoma" w:hAnsi="Tahoma" w:cs="Tahoma"/>
                <w:b/>
                <w:sz w:val="22"/>
                <w:szCs w:val="22"/>
              </w:rPr>
            </w:pPr>
            <w:r w:rsidRPr="00B81347">
              <w:rPr>
                <w:rFonts w:ascii="Tahoma" w:hAnsi="Tahoma" w:cs="Tahoma"/>
                <w:b/>
                <w:sz w:val="22"/>
                <w:szCs w:val="22"/>
              </w:rPr>
              <w:t>2024</w:t>
            </w:r>
          </w:p>
        </w:tc>
        <w:tc>
          <w:tcPr>
            <w:tcW w:w="2552" w:type="dxa"/>
            <w:vAlign w:val="center"/>
          </w:tcPr>
          <w:p w:rsidR="007D464E" w:rsidRPr="00B81347" w:rsidRDefault="007D464E" w:rsidP="007A1C80">
            <w:pPr>
              <w:jc w:val="center"/>
              <w:rPr>
                <w:rFonts w:ascii="Tahoma" w:hAnsi="Tahoma" w:cs="Tahoma"/>
                <w:b/>
                <w:sz w:val="22"/>
                <w:szCs w:val="22"/>
              </w:rPr>
            </w:pPr>
            <w:r w:rsidRPr="00B81347">
              <w:rPr>
                <w:rFonts w:ascii="Tahoma" w:hAnsi="Tahoma" w:cs="Tahoma"/>
                <w:b/>
                <w:sz w:val="22"/>
                <w:szCs w:val="22"/>
              </w:rPr>
              <w:t>Indeks</w:t>
            </w:r>
          </w:p>
          <w:p w:rsidR="007D464E" w:rsidRPr="00B81347" w:rsidRDefault="007D464E" w:rsidP="007A1C80">
            <w:pPr>
              <w:jc w:val="center"/>
              <w:rPr>
                <w:rFonts w:ascii="Tahoma" w:hAnsi="Tahoma" w:cs="Tahoma"/>
                <w:b/>
                <w:sz w:val="22"/>
                <w:szCs w:val="22"/>
              </w:rPr>
            </w:pPr>
            <w:r w:rsidRPr="00B81347">
              <w:rPr>
                <w:rFonts w:ascii="Tahoma" w:hAnsi="Tahoma" w:cs="Tahoma"/>
                <w:b/>
                <w:sz w:val="22"/>
                <w:szCs w:val="22"/>
              </w:rPr>
              <w:t>2024/2023</w:t>
            </w:r>
          </w:p>
        </w:tc>
      </w:tr>
      <w:tr w:rsidR="007D464E" w:rsidRPr="00CE0EC7" w:rsidTr="007A1C80">
        <w:trPr>
          <w:trHeight w:val="447"/>
        </w:trPr>
        <w:tc>
          <w:tcPr>
            <w:tcW w:w="2552" w:type="dxa"/>
            <w:vMerge/>
          </w:tcPr>
          <w:p w:rsidR="007D464E" w:rsidRPr="00B81347" w:rsidRDefault="007D464E" w:rsidP="007A1C80">
            <w:pPr>
              <w:jc w:val="both"/>
              <w:rPr>
                <w:rFonts w:ascii="Tahoma" w:hAnsi="Tahoma" w:cs="Tahoma"/>
                <w:b/>
                <w:sz w:val="22"/>
                <w:szCs w:val="22"/>
              </w:rPr>
            </w:pPr>
          </w:p>
        </w:tc>
        <w:tc>
          <w:tcPr>
            <w:tcW w:w="1838" w:type="dxa"/>
            <w:vAlign w:val="center"/>
          </w:tcPr>
          <w:p w:rsidR="007D464E" w:rsidRPr="00B81347" w:rsidRDefault="007D464E" w:rsidP="007A1C80">
            <w:pPr>
              <w:jc w:val="right"/>
              <w:rPr>
                <w:rFonts w:ascii="Tahoma" w:hAnsi="Tahoma" w:cs="Tahoma"/>
                <w:b/>
                <w:sz w:val="22"/>
                <w:szCs w:val="22"/>
              </w:rPr>
            </w:pPr>
            <w:r w:rsidRPr="00B81347">
              <w:rPr>
                <w:rFonts w:ascii="Tahoma" w:hAnsi="Tahoma" w:cs="Tahoma"/>
                <w:b/>
                <w:sz w:val="22"/>
                <w:szCs w:val="22"/>
              </w:rPr>
              <w:t>0</w:t>
            </w:r>
          </w:p>
        </w:tc>
        <w:tc>
          <w:tcPr>
            <w:tcW w:w="1984" w:type="dxa"/>
            <w:vAlign w:val="center"/>
          </w:tcPr>
          <w:p w:rsidR="007D464E" w:rsidRPr="00B81347" w:rsidRDefault="007D464E" w:rsidP="007A1C80">
            <w:pPr>
              <w:jc w:val="right"/>
              <w:rPr>
                <w:rFonts w:ascii="Tahoma" w:hAnsi="Tahoma" w:cs="Tahoma"/>
                <w:b/>
                <w:sz w:val="22"/>
                <w:szCs w:val="22"/>
              </w:rPr>
            </w:pPr>
            <w:r w:rsidRPr="00B81347">
              <w:rPr>
                <w:rFonts w:ascii="Tahoma" w:hAnsi="Tahoma" w:cs="Tahoma"/>
                <w:b/>
                <w:sz w:val="22"/>
                <w:szCs w:val="22"/>
              </w:rPr>
              <w:t>394.878</w:t>
            </w:r>
          </w:p>
        </w:tc>
        <w:tc>
          <w:tcPr>
            <w:tcW w:w="2552" w:type="dxa"/>
            <w:vAlign w:val="center"/>
          </w:tcPr>
          <w:p w:rsidR="007D464E" w:rsidRPr="00B81347" w:rsidRDefault="007D464E" w:rsidP="007A1C80">
            <w:pPr>
              <w:jc w:val="right"/>
              <w:rPr>
                <w:rFonts w:ascii="Tahoma" w:hAnsi="Tahoma" w:cs="Tahoma"/>
                <w:b/>
                <w:sz w:val="22"/>
                <w:szCs w:val="22"/>
              </w:rPr>
            </w:pPr>
            <w:r w:rsidRPr="00B81347">
              <w:rPr>
                <w:rFonts w:ascii="Tahoma" w:hAnsi="Tahoma" w:cs="Tahoma"/>
                <w:b/>
                <w:sz w:val="22"/>
                <w:szCs w:val="22"/>
              </w:rPr>
              <w:t>-</w:t>
            </w:r>
          </w:p>
        </w:tc>
      </w:tr>
    </w:tbl>
    <w:p w:rsidR="007D464E" w:rsidRDefault="007D464E" w:rsidP="007D464E">
      <w:pPr>
        <w:pStyle w:val="ListParagraph"/>
        <w:shd w:val="clear" w:color="auto" w:fill="FFFFFF"/>
        <w:ind w:left="709"/>
        <w:jc w:val="both"/>
        <w:rPr>
          <w:rFonts w:ascii="Tahoma" w:hAnsi="Tahoma" w:cs="Tahoma"/>
          <w:b/>
          <w:sz w:val="22"/>
          <w:szCs w:val="22"/>
          <w:highlight w:val="lightGray"/>
        </w:rPr>
      </w:pPr>
    </w:p>
    <w:p w:rsidR="007D464E" w:rsidRDefault="007D464E" w:rsidP="007D464E">
      <w:pPr>
        <w:pStyle w:val="ListParagraph"/>
        <w:shd w:val="clear" w:color="auto" w:fill="FFFFFF"/>
        <w:ind w:left="709"/>
        <w:jc w:val="both"/>
        <w:rPr>
          <w:rFonts w:ascii="Tahoma" w:hAnsi="Tahoma" w:cs="Tahoma"/>
          <w:b/>
          <w:sz w:val="22"/>
          <w:szCs w:val="22"/>
          <w:highlight w:val="lightGray"/>
        </w:rPr>
      </w:pPr>
    </w:p>
    <w:p w:rsidR="007D464E" w:rsidRPr="00F063FD" w:rsidRDefault="007D464E" w:rsidP="007D464E">
      <w:pPr>
        <w:pStyle w:val="ListParagraph"/>
        <w:numPr>
          <w:ilvl w:val="1"/>
          <w:numId w:val="1"/>
        </w:numPr>
        <w:shd w:val="clear" w:color="auto" w:fill="FFFFFF"/>
        <w:ind w:left="709" w:hanging="709"/>
        <w:jc w:val="both"/>
        <w:rPr>
          <w:rFonts w:ascii="Tahoma" w:hAnsi="Tahoma" w:cs="Tahoma"/>
          <w:b/>
          <w:sz w:val="22"/>
          <w:szCs w:val="22"/>
        </w:rPr>
      </w:pPr>
      <w:r w:rsidRPr="00F063FD">
        <w:rPr>
          <w:rFonts w:ascii="Tahoma" w:hAnsi="Tahoma" w:cs="Tahoma"/>
          <w:b/>
          <w:sz w:val="22"/>
          <w:szCs w:val="22"/>
        </w:rPr>
        <w:lastRenderedPageBreak/>
        <w:t>PRIHODI PO POSEBNIM PROPISIMA</w:t>
      </w:r>
    </w:p>
    <w:p w:rsidR="007D464E" w:rsidRPr="00F063FD" w:rsidRDefault="007D464E" w:rsidP="007D464E">
      <w:pPr>
        <w:shd w:val="clear" w:color="auto" w:fill="FFFFFF"/>
        <w:jc w:val="both"/>
        <w:rPr>
          <w:rFonts w:ascii="Tahoma" w:hAnsi="Tahoma" w:cs="Tahoma"/>
          <w:sz w:val="22"/>
          <w:szCs w:val="22"/>
        </w:rPr>
      </w:pPr>
    </w:p>
    <w:p w:rsidR="007D464E" w:rsidRPr="00F063FD" w:rsidRDefault="007D464E" w:rsidP="007D464E">
      <w:pPr>
        <w:jc w:val="both"/>
        <w:rPr>
          <w:rFonts w:ascii="Tahoma" w:hAnsi="Tahoma" w:cs="Tahoma"/>
          <w:sz w:val="22"/>
          <w:szCs w:val="22"/>
        </w:rPr>
      </w:pPr>
      <w:r w:rsidRPr="00F063FD">
        <w:rPr>
          <w:rFonts w:ascii="Tahoma" w:hAnsi="Tahoma" w:cs="Tahoma"/>
          <w:b/>
          <w:sz w:val="22"/>
          <w:szCs w:val="22"/>
          <w:u w:val="single"/>
        </w:rPr>
        <w:t>Prihodi po posebnim propisima (Šifra 652)</w:t>
      </w:r>
      <w:r w:rsidRPr="00F063FD">
        <w:rPr>
          <w:rFonts w:ascii="Tahoma" w:hAnsi="Tahoma" w:cs="Tahoma"/>
          <w:sz w:val="22"/>
          <w:szCs w:val="22"/>
        </w:rPr>
        <w:t xml:space="preserve"> u razdoblju </w:t>
      </w:r>
      <w:r w:rsidR="00F063FD" w:rsidRPr="00F063FD">
        <w:rPr>
          <w:rFonts w:ascii="Tahoma" w:hAnsi="Tahoma" w:cs="Tahoma"/>
          <w:sz w:val="22"/>
          <w:szCs w:val="22"/>
        </w:rPr>
        <w:t>od 1. siječnja do 31. prosinca 2024. godine</w:t>
      </w:r>
      <w:r w:rsidRPr="00F063FD">
        <w:rPr>
          <w:rFonts w:ascii="Tahoma" w:hAnsi="Tahoma" w:cs="Tahoma"/>
          <w:sz w:val="22"/>
          <w:szCs w:val="22"/>
        </w:rPr>
        <w:t xml:space="preserve"> iznose 28.113.254 EUR. Povećanje prihoda po posebnim propisima (dopunsko zdravstveno osiguranje i participacije) u razdoblju </w:t>
      </w:r>
      <w:r w:rsidR="00F063FD" w:rsidRPr="00F063FD">
        <w:rPr>
          <w:rFonts w:ascii="Tahoma" w:hAnsi="Tahoma" w:cs="Tahoma"/>
          <w:sz w:val="22"/>
          <w:szCs w:val="22"/>
        </w:rPr>
        <w:t>od 1. siječnja do 31. prosinca 2024. godine</w:t>
      </w:r>
      <w:r w:rsidRPr="00F063FD">
        <w:rPr>
          <w:rFonts w:ascii="Tahoma" w:hAnsi="Tahoma" w:cs="Tahoma"/>
          <w:sz w:val="22"/>
          <w:szCs w:val="22"/>
        </w:rPr>
        <w:t xml:space="preserve"> u odnosu na isto razdoblje prethodne godine iznosi 40,4% zbog povećanja broja pacijenata i cijena usluga.</w:t>
      </w:r>
    </w:p>
    <w:p w:rsidR="007D464E" w:rsidRPr="00F063FD" w:rsidRDefault="007D464E" w:rsidP="007D464E">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838"/>
        <w:gridCol w:w="1984"/>
        <w:gridCol w:w="2552"/>
      </w:tblGrid>
      <w:tr w:rsidR="007D464E" w:rsidRPr="00CE0EC7" w:rsidTr="007A1C80">
        <w:trPr>
          <w:trHeight w:val="609"/>
        </w:trPr>
        <w:tc>
          <w:tcPr>
            <w:tcW w:w="2552" w:type="dxa"/>
            <w:vMerge w:val="restart"/>
            <w:vAlign w:val="center"/>
          </w:tcPr>
          <w:p w:rsidR="007D464E" w:rsidRPr="00F063FD" w:rsidRDefault="007D464E" w:rsidP="007A1C80">
            <w:pPr>
              <w:ind w:right="-41"/>
              <w:jc w:val="center"/>
              <w:rPr>
                <w:rFonts w:ascii="Tahoma" w:hAnsi="Tahoma" w:cs="Tahoma"/>
                <w:b/>
                <w:sz w:val="20"/>
                <w:szCs w:val="20"/>
              </w:rPr>
            </w:pPr>
            <w:bookmarkStart w:id="0" w:name="_Hlk94277652"/>
            <w:r w:rsidRPr="00F063FD">
              <w:rPr>
                <w:rFonts w:ascii="Tahoma" w:hAnsi="Tahoma" w:cs="Tahoma"/>
                <w:b/>
                <w:sz w:val="20"/>
                <w:szCs w:val="20"/>
              </w:rPr>
              <w:t>Prihodi po posebnim propisima</w:t>
            </w:r>
          </w:p>
        </w:tc>
        <w:tc>
          <w:tcPr>
            <w:tcW w:w="1838" w:type="dxa"/>
            <w:vAlign w:val="center"/>
          </w:tcPr>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Izvršenje</w:t>
            </w:r>
          </w:p>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2023</w:t>
            </w:r>
          </w:p>
        </w:tc>
        <w:tc>
          <w:tcPr>
            <w:tcW w:w="1984" w:type="dxa"/>
            <w:vAlign w:val="center"/>
          </w:tcPr>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Izvršenje</w:t>
            </w:r>
          </w:p>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2024</w:t>
            </w:r>
          </w:p>
        </w:tc>
        <w:tc>
          <w:tcPr>
            <w:tcW w:w="2552" w:type="dxa"/>
            <w:vAlign w:val="center"/>
          </w:tcPr>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Indeks</w:t>
            </w:r>
          </w:p>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2024/2023</w:t>
            </w:r>
          </w:p>
        </w:tc>
      </w:tr>
      <w:tr w:rsidR="007D464E" w:rsidRPr="00CE0EC7" w:rsidTr="007A1C80">
        <w:trPr>
          <w:trHeight w:val="447"/>
        </w:trPr>
        <w:tc>
          <w:tcPr>
            <w:tcW w:w="2552" w:type="dxa"/>
            <w:vMerge/>
          </w:tcPr>
          <w:p w:rsidR="007D464E" w:rsidRPr="00F063FD" w:rsidRDefault="007D464E" w:rsidP="007A1C80">
            <w:pPr>
              <w:jc w:val="both"/>
              <w:rPr>
                <w:rFonts w:ascii="Tahoma" w:hAnsi="Tahoma" w:cs="Tahoma"/>
                <w:b/>
                <w:sz w:val="22"/>
                <w:szCs w:val="22"/>
              </w:rPr>
            </w:pPr>
          </w:p>
        </w:tc>
        <w:tc>
          <w:tcPr>
            <w:tcW w:w="1838" w:type="dxa"/>
            <w:vAlign w:val="center"/>
          </w:tcPr>
          <w:p w:rsidR="007D464E" w:rsidRPr="00F063FD" w:rsidRDefault="007D464E" w:rsidP="007A1C80">
            <w:pPr>
              <w:jc w:val="right"/>
              <w:rPr>
                <w:rFonts w:ascii="Tahoma" w:hAnsi="Tahoma" w:cs="Tahoma"/>
                <w:b/>
                <w:sz w:val="22"/>
                <w:szCs w:val="22"/>
              </w:rPr>
            </w:pPr>
            <w:r w:rsidRPr="00F063FD">
              <w:rPr>
                <w:rFonts w:ascii="Tahoma" w:hAnsi="Tahoma" w:cs="Tahoma"/>
                <w:b/>
                <w:sz w:val="22"/>
                <w:szCs w:val="22"/>
              </w:rPr>
              <w:t>20.017.792</w:t>
            </w:r>
          </w:p>
        </w:tc>
        <w:tc>
          <w:tcPr>
            <w:tcW w:w="1984" w:type="dxa"/>
            <w:vAlign w:val="center"/>
          </w:tcPr>
          <w:p w:rsidR="007D464E" w:rsidRPr="00F063FD" w:rsidRDefault="007D464E" w:rsidP="007A1C80">
            <w:pPr>
              <w:jc w:val="right"/>
              <w:rPr>
                <w:rFonts w:ascii="Tahoma" w:hAnsi="Tahoma" w:cs="Tahoma"/>
                <w:b/>
                <w:sz w:val="22"/>
                <w:szCs w:val="22"/>
              </w:rPr>
            </w:pPr>
            <w:r w:rsidRPr="00F063FD">
              <w:rPr>
                <w:rFonts w:ascii="Tahoma" w:hAnsi="Tahoma" w:cs="Tahoma"/>
                <w:b/>
                <w:sz w:val="22"/>
                <w:szCs w:val="22"/>
              </w:rPr>
              <w:t>28.113.254</w:t>
            </w:r>
          </w:p>
        </w:tc>
        <w:tc>
          <w:tcPr>
            <w:tcW w:w="2552" w:type="dxa"/>
            <w:vAlign w:val="center"/>
          </w:tcPr>
          <w:p w:rsidR="007D464E" w:rsidRPr="00F063FD" w:rsidRDefault="007D464E" w:rsidP="007A1C80">
            <w:pPr>
              <w:jc w:val="right"/>
              <w:rPr>
                <w:rFonts w:ascii="Tahoma" w:hAnsi="Tahoma" w:cs="Tahoma"/>
                <w:b/>
                <w:sz w:val="22"/>
                <w:szCs w:val="22"/>
              </w:rPr>
            </w:pPr>
            <w:r w:rsidRPr="00F063FD">
              <w:rPr>
                <w:rFonts w:ascii="Tahoma" w:hAnsi="Tahoma" w:cs="Tahoma"/>
                <w:b/>
                <w:sz w:val="22"/>
                <w:szCs w:val="22"/>
              </w:rPr>
              <w:t>1,40</w:t>
            </w:r>
          </w:p>
        </w:tc>
      </w:tr>
      <w:bookmarkEnd w:id="0"/>
    </w:tbl>
    <w:p w:rsidR="007D464E" w:rsidRDefault="007D464E" w:rsidP="007D464E">
      <w:pPr>
        <w:pStyle w:val="ListParagraph"/>
        <w:ind w:left="709"/>
        <w:jc w:val="both"/>
        <w:rPr>
          <w:rFonts w:ascii="Tahoma" w:hAnsi="Tahoma" w:cs="Tahoma"/>
          <w:b/>
          <w:sz w:val="22"/>
          <w:szCs w:val="22"/>
          <w:highlight w:val="lightGray"/>
        </w:rPr>
      </w:pPr>
    </w:p>
    <w:p w:rsidR="007D464E" w:rsidRPr="00CE0EC7" w:rsidRDefault="007D464E" w:rsidP="007D464E">
      <w:pPr>
        <w:pStyle w:val="ListParagraph"/>
        <w:ind w:left="709"/>
        <w:jc w:val="both"/>
        <w:rPr>
          <w:rFonts w:ascii="Tahoma" w:hAnsi="Tahoma" w:cs="Tahoma"/>
          <w:b/>
          <w:sz w:val="22"/>
          <w:szCs w:val="22"/>
          <w:highlight w:val="lightGray"/>
        </w:rPr>
      </w:pPr>
    </w:p>
    <w:p w:rsidR="007D464E" w:rsidRPr="00F063FD" w:rsidRDefault="007D464E" w:rsidP="007D464E">
      <w:pPr>
        <w:pStyle w:val="ListParagraph"/>
        <w:numPr>
          <w:ilvl w:val="1"/>
          <w:numId w:val="1"/>
        </w:numPr>
        <w:ind w:left="709" w:hanging="709"/>
        <w:jc w:val="both"/>
        <w:rPr>
          <w:rFonts w:ascii="Tahoma" w:hAnsi="Tahoma" w:cs="Tahoma"/>
          <w:b/>
          <w:sz w:val="22"/>
          <w:szCs w:val="22"/>
        </w:rPr>
      </w:pPr>
      <w:r w:rsidRPr="00F063FD">
        <w:rPr>
          <w:rFonts w:ascii="Tahoma" w:hAnsi="Tahoma" w:cs="Tahoma"/>
          <w:b/>
          <w:sz w:val="22"/>
          <w:szCs w:val="22"/>
        </w:rPr>
        <w:t>PRIHODI OD PRODAJE PROIZVODA I ROBE TE PRUŽENIH USLUGA I PRIHODI OD DONACIJA</w:t>
      </w:r>
    </w:p>
    <w:p w:rsidR="007D464E" w:rsidRPr="00F063FD" w:rsidRDefault="007D464E" w:rsidP="007D464E">
      <w:pPr>
        <w:jc w:val="both"/>
        <w:rPr>
          <w:rFonts w:ascii="Tahoma" w:hAnsi="Tahoma" w:cs="Tahoma"/>
          <w:b/>
          <w:sz w:val="22"/>
          <w:szCs w:val="22"/>
        </w:rPr>
      </w:pPr>
    </w:p>
    <w:p w:rsidR="007D464E" w:rsidRPr="00F063FD" w:rsidRDefault="007D464E" w:rsidP="007D464E">
      <w:pPr>
        <w:jc w:val="both"/>
        <w:rPr>
          <w:rFonts w:ascii="Tahoma" w:hAnsi="Tahoma" w:cs="Tahoma"/>
          <w:sz w:val="22"/>
          <w:szCs w:val="22"/>
        </w:rPr>
      </w:pPr>
      <w:r w:rsidRPr="00F063FD">
        <w:rPr>
          <w:rFonts w:ascii="Tahoma" w:hAnsi="Tahoma" w:cs="Tahoma"/>
          <w:b/>
          <w:sz w:val="22"/>
          <w:szCs w:val="22"/>
          <w:u w:val="single"/>
        </w:rPr>
        <w:t xml:space="preserve">Prihodi od prodaje proizvoda i robe te pruženih usluga i prihodi od donacija (Šifra 66) </w:t>
      </w:r>
      <w:r w:rsidRPr="00F063FD">
        <w:rPr>
          <w:rFonts w:ascii="Tahoma" w:hAnsi="Tahoma" w:cs="Tahoma"/>
          <w:sz w:val="22"/>
          <w:szCs w:val="22"/>
        </w:rPr>
        <w:t xml:space="preserve">u razdoblju </w:t>
      </w:r>
      <w:r w:rsidR="00F063FD" w:rsidRPr="00F063FD">
        <w:rPr>
          <w:rFonts w:ascii="Tahoma" w:hAnsi="Tahoma" w:cs="Tahoma"/>
          <w:sz w:val="22"/>
          <w:szCs w:val="22"/>
        </w:rPr>
        <w:t>od 1. siječnja do 31. prosinca 2024. godine</w:t>
      </w:r>
      <w:r w:rsidRPr="00F063FD">
        <w:rPr>
          <w:rFonts w:ascii="Tahoma" w:hAnsi="Tahoma" w:cs="Tahoma"/>
          <w:sz w:val="22"/>
          <w:szCs w:val="22"/>
        </w:rPr>
        <w:t xml:space="preserve"> iznose 35.370.719 EUR. Povećanje prihoda od prodaje proizvoda i robe te pruženih usluga i prihodi od donacija u razdoblju </w:t>
      </w:r>
      <w:r w:rsidR="00377385" w:rsidRPr="00F063FD">
        <w:rPr>
          <w:rFonts w:ascii="Tahoma" w:hAnsi="Tahoma" w:cs="Tahoma"/>
          <w:sz w:val="22"/>
          <w:szCs w:val="22"/>
        </w:rPr>
        <w:t>od 1. siječnja do 31. prosinca 2024. godine</w:t>
      </w:r>
      <w:r w:rsidRPr="00F063FD">
        <w:rPr>
          <w:rFonts w:ascii="Tahoma" w:hAnsi="Tahoma" w:cs="Tahoma"/>
          <w:sz w:val="22"/>
          <w:szCs w:val="22"/>
        </w:rPr>
        <w:t xml:space="preserve"> u odnosu na isto razdoblje prethodne godine iznosi 31,1%, a rezultat</w:t>
      </w:r>
      <w:r w:rsidR="007A6200">
        <w:rPr>
          <w:rFonts w:ascii="Tahoma" w:hAnsi="Tahoma" w:cs="Tahoma"/>
          <w:sz w:val="22"/>
          <w:szCs w:val="22"/>
        </w:rPr>
        <w:t xml:space="preserve"> je više ostvarenih prihoda od </w:t>
      </w:r>
      <w:r w:rsidRPr="00F063FD">
        <w:rPr>
          <w:rFonts w:ascii="Tahoma" w:hAnsi="Tahoma" w:cs="Tahoma"/>
          <w:sz w:val="22"/>
          <w:szCs w:val="22"/>
        </w:rPr>
        <w:t>pruženih zdravstvenih usluga te primljenih kapitalnih donacija od pravnih i fizičkih osoba.</w:t>
      </w:r>
    </w:p>
    <w:p w:rsidR="007D464E" w:rsidRPr="00F063FD" w:rsidRDefault="007D464E" w:rsidP="007D464E">
      <w:pPr>
        <w:jc w:val="both"/>
        <w:rPr>
          <w:rFonts w:ascii="Tahoma" w:hAnsi="Tahoma" w:cs="Tahoma"/>
          <w:sz w:val="22"/>
          <w:szCs w:val="22"/>
        </w:rPr>
      </w:pPr>
    </w:p>
    <w:p w:rsidR="007D464E" w:rsidRPr="00F063FD" w:rsidRDefault="007D464E" w:rsidP="007D464E">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838"/>
        <w:gridCol w:w="1984"/>
        <w:gridCol w:w="2552"/>
      </w:tblGrid>
      <w:tr w:rsidR="007D464E" w:rsidRPr="00F063FD" w:rsidTr="007A1C80">
        <w:trPr>
          <w:trHeight w:val="609"/>
        </w:trPr>
        <w:tc>
          <w:tcPr>
            <w:tcW w:w="2552" w:type="dxa"/>
            <w:vMerge w:val="restart"/>
            <w:vAlign w:val="center"/>
          </w:tcPr>
          <w:p w:rsidR="007D464E" w:rsidRPr="00F063FD" w:rsidRDefault="007D464E" w:rsidP="007A1C80">
            <w:pPr>
              <w:ind w:right="-41"/>
              <w:jc w:val="center"/>
              <w:rPr>
                <w:rFonts w:ascii="Tahoma" w:hAnsi="Tahoma" w:cs="Tahoma"/>
                <w:b/>
                <w:sz w:val="20"/>
                <w:szCs w:val="20"/>
              </w:rPr>
            </w:pPr>
            <w:r w:rsidRPr="00F063FD">
              <w:rPr>
                <w:rFonts w:ascii="Tahoma" w:hAnsi="Tahoma" w:cs="Tahoma"/>
                <w:b/>
                <w:sz w:val="20"/>
                <w:szCs w:val="20"/>
              </w:rPr>
              <w:t>Prihodi od prodaje proizvoda i robe te pruženih usluga i prihodi od donacija</w:t>
            </w:r>
          </w:p>
        </w:tc>
        <w:tc>
          <w:tcPr>
            <w:tcW w:w="1838" w:type="dxa"/>
            <w:vAlign w:val="center"/>
          </w:tcPr>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Izvršenje</w:t>
            </w:r>
          </w:p>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2023</w:t>
            </w:r>
          </w:p>
        </w:tc>
        <w:tc>
          <w:tcPr>
            <w:tcW w:w="1984" w:type="dxa"/>
            <w:vAlign w:val="center"/>
          </w:tcPr>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Izvršenje</w:t>
            </w:r>
          </w:p>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2024</w:t>
            </w:r>
          </w:p>
        </w:tc>
        <w:tc>
          <w:tcPr>
            <w:tcW w:w="2552" w:type="dxa"/>
            <w:vAlign w:val="center"/>
          </w:tcPr>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Indeks</w:t>
            </w:r>
          </w:p>
          <w:p w:rsidR="007D464E" w:rsidRPr="00F063FD" w:rsidRDefault="007D464E" w:rsidP="007A1C80">
            <w:pPr>
              <w:jc w:val="center"/>
              <w:rPr>
                <w:rFonts w:ascii="Tahoma" w:hAnsi="Tahoma" w:cs="Tahoma"/>
                <w:b/>
                <w:sz w:val="22"/>
                <w:szCs w:val="22"/>
              </w:rPr>
            </w:pPr>
            <w:r w:rsidRPr="00F063FD">
              <w:rPr>
                <w:rFonts w:ascii="Tahoma" w:hAnsi="Tahoma" w:cs="Tahoma"/>
                <w:b/>
                <w:sz w:val="22"/>
                <w:szCs w:val="22"/>
              </w:rPr>
              <w:t>2024/2023</w:t>
            </w:r>
          </w:p>
        </w:tc>
      </w:tr>
      <w:tr w:rsidR="007D464E" w:rsidRPr="00CE0EC7" w:rsidTr="007A1C80">
        <w:trPr>
          <w:trHeight w:val="447"/>
        </w:trPr>
        <w:tc>
          <w:tcPr>
            <w:tcW w:w="2552" w:type="dxa"/>
            <w:vMerge/>
          </w:tcPr>
          <w:p w:rsidR="007D464E" w:rsidRPr="00F063FD" w:rsidRDefault="007D464E" w:rsidP="007A1C80">
            <w:pPr>
              <w:jc w:val="both"/>
              <w:rPr>
                <w:rFonts w:ascii="Tahoma" w:hAnsi="Tahoma" w:cs="Tahoma"/>
                <w:b/>
                <w:sz w:val="22"/>
                <w:szCs w:val="22"/>
              </w:rPr>
            </w:pPr>
          </w:p>
        </w:tc>
        <w:tc>
          <w:tcPr>
            <w:tcW w:w="1838" w:type="dxa"/>
            <w:vAlign w:val="center"/>
          </w:tcPr>
          <w:p w:rsidR="007D464E" w:rsidRPr="00F063FD" w:rsidRDefault="007D464E" w:rsidP="007A1C80">
            <w:pPr>
              <w:jc w:val="right"/>
              <w:rPr>
                <w:rFonts w:ascii="Tahoma" w:hAnsi="Tahoma" w:cs="Tahoma"/>
                <w:b/>
                <w:sz w:val="22"/>
                <w:szCs w:val="22"/>
              </w:rPr>
            </w:pPr>
            <w:r w:rsidRPr="00F063FD">
              <w:rPr>
                <w:rFonts w:ascii="Tahoma" w:hAnsi="Tahoma" w:cs="Tahoma"/>
                <w:b/>
                <w:sz w:val="22"/>
                <w:szCs w:val="22"/>
              </w:rPr>
              <w:t>26.985.674</w:t>
            </w:r>
          </w:p>
        </w:tc>
        <w:tc>
          <w:tcPr>
            <w:tcW w:w="1984" w:type="dxa"/>
            <w:vAlign w:val="center"/>
          </w:tcPr>
          <w:p w:rsidR="007D464E" w:rsidRPr="00F063FD" w:rsidRDefault="007D464E" w:rsidP="007A1C80">
            <w:pPr>
              <w:jc w:val="right"/>
              <w:rPr>
                <w:rFonts w:ascii="Tahoma" w:hAnsi="Tahoma" w:cs="Tahoma"/>
                <w:b/>
                <w:sz w:val="22"/>
                <w:szCs w:val="22"/>
              </w:rPr>
            </w:pPr>
            <w:r w:rsidRPr="00F063FD">
              <w:rPr>
                <w:rFonts w:ascii="Tahoma" w:hAnsi="Tahoma" w:cs="Tahoma"/>
                <w:b/>
                <w:sz w:val="22"/>
                <w:szCs w:val="22"/>
              </w:rPr>
              <w:t>35.370.719</w:t>
            </w:r>
          </w:p>
        </w:tc>
        <w:tc>
          <w:tcPr>
            <w:tcW w:w="2552" w:type="dxa"/>
            <w:vAlign w:val="center"/>
          </w:tcPr>
          <w:p w:rsidR="007D464E" w:rsidRPr="00F063FD" w:rsidRDefault="007D464E" w:rsidP="007A1C80">
            <w:pPr>
              <w:jc w:val="right"/>
              <w:rPr>
                <w:rFonts w:ascii="Tahoma" w:hAnsi="Tahoma" w:cs="Tahoma"/>
                <w:b/>
                <w:sz w:val="22"/>
                <w:szCs w:val="22"/>
              </w:rPr>
            </w:pPr>
            <w:r w:rsidRPr="00F063FD">
              <w:rPr>
                <w:rFonts w:ascii="Tahoma" w:hAnsi="Tahoma" w:cs="Tahoma"/>
                <w:b/>
                <w:sz w:val="22"/>
                <w:szCs w:val="22"/>
              </w:rPr>
              <w:t>1,31</w:t>
            </w:r>
          </w:p>
        </w:tc>
      </w:tr>
    </w:tbl>
    <w:p w:rsidR="007D464E" w:rsidRPr="00CE0EC7" w:rsidRDefault="007D464E" w:rsidP="007D464E">
      <w:pPr>
        <w:jc w:val="both"/>
        <w:rPr>
          <w:rFonts w:ascii="Tahoma" w:hAnsi="Tahoma" w:cs="Tahoma"/>
          <w:sz w:val="22"/>
          <w:szCs w:val="22"/>
          <w:highlight w:val="lightGray"/>
        </w:rPr>
      </w:pPr>
    </w:p>
    <w:p w:rsidR="007D464E" w:rsidRPr="00CE0EC7" w:rsidRDefault="007D464E" w:rsidP="007D464E">
      <w:pPr>
        <w:jc w:val="both"/>
        <w:rPr>
          <w:rFonts w:ascii="Tahoma" w:hAnsi="Tahoma" w:cs="Tahoma"/>
          <w:sz w:val="22"/>
          <w:szCs w:val="22"/>
          <w:highlight w:val="lightGray"/>
        </w:rPr>
      </w:pPr>
    </w:p>
    <w:p w:rsidR="007D464E" w:rsidRPr="003D0F7A" w:rsidRDefault="007D464E" w:rsidP="007D464E">
      <w:pPr>
        <w:pStyle w:val="ListParagraph"/>
        <w:numPr>
          <w:ilvl w:val="2"/>
          <w:numId w:val="1"/>
        </w:numPr>
        <w:ind w:left="709" w:hanging="709"/>
        <w:jc w:val="both"/>
        <w:rPr>
          <w:rFonts w:ascii="Tahoma" w:hAnsi="Tahoma" w:cs="Tahoma"/>
          <w:b/>
          <w:sz w:val="22"/>
          <w:szCs w:val="22"/>
        </w:rPr>
      </w:pPr>
      <w:r w:rsidRPr="003D0F7A">
        <w:rPr>
          <w:rFonts w:ascii="Tahoma" w:hAnsi="Tahoma" w:cs="Tahoma"/>
          <w:b/>
          <w:sz w:val="22"/>
          <w:szCs w:val="22"/>
        </w:rPr>
        <w:t>PRIHODI OD PRODAJE PROIZVODA I ROBE TE PRUŽENIH USLUGA</w:t>
      </w:r>
    </w:p>
    <w:p w:rsidR="007D464E" w:rsidRPr="003D0F7A" w:rsidRDefault="007D464E" w:rsidP="007D464E">
      <w:pPr>
        <w:jc w:val="both"/>
        <w:rPr>
          <w:rFonts w:ascii="Tahoma" w:hAnsi="Tahoma" w:cs="Tahoma"/>
          <w:b/>
          <w:sz w:val="22"/>
          <w:szCs w:val="22"/>
        </w:rPr>
      </w:pPr>
    </w:p>
    <w:p w:rsidR="007D464E" w:rsidRPr="003D0F7A" w:rsidRDefault="007D464E" w:rsidP="007D464E">
      <w:pPr>
        <w:jc w:val="both"/>
        <w:rPr>
          <w:rFonts w:ascii="Tahoma" w:hAnsi="Tahoma" w:cs="Tahoma"/>
          <w:sz w:val="22"/>
          <w:szCs w:val="22"/>
        </w:rPr>
      </w:pPr>
      <w:r w:rsidRPr="003D0F7A">
        <w:rPr>
          <w:rFonts w:ascii="Tahoma" w:hAnsi="Tahoma" w:cs="Tahoma"/>
          <w:b/>
          <w:sz w:val="22"/>
          <w:szCs w:val="22"/>
          <w:u w:val="single"/>
        </w:rPr>
        <w:t>Prihodi od prodaje proizvoda i robe te pruženih usluga (Šifra 661)</w:t>
      </w:r>
      <w:r w:rsidRPr="003D0F7A">
        <w:rPr>
          <w:rFonts w:ascii="Tahoma" w:hAnsi="Tahoma" w:cs="Tahoma"/>
          <w:sz w:val="22"/>
          <w:szCs w:val="22"/>
        </w:rPr>
        <w:t xml:space="preserve"> (</w:t>
      </w:r>
      <w:proofErr w:type="spellStart"/>
      <w:r w:rsidRPr="003D0F7A">
        <w:rPr>
          <w:rFonts w:ascii="Tahoma" w:hAnsi="Tahoma" w:cs="Tahoma"/>
          <w:sz w:val="22"/>
          <w:szCs w:val="22"/>
        </w:rPr>
        <w:t>suradne</w:t>
      </w:r>
      <w:proofErr w:type="spellEnd"/>
      <w:r w:rsidRPr="003D0F7A">
        <w:rPr>
          <w:rFonts w:ascii="Tahoma" w:hAnsi="Tahoma" w:cs="Tahoma"/>
          <w:sz w:val="22"/>
          <w:szCs w:val="22"/>
        </w:rPr>
        <w:t xml:space="preserve"> zdravstvene ustanove, klinička ispitivanja, zakupi, tečajevi i dr.) u razdoblju </w:t>
      </w:r>
      <w:r w:rsidR="003D0F7A" w:rsidRPr="003D0F7A">
        <w:rPr>
          <w:rFonts w:ascii="Tahoma" w:hAnsi="Tahoma" w:cs="Tahoma"/>
          <w:sz w:val="22"/>
          <w:szCs w:val="22"/>
        </w:rPr>
        <w:t xml:space="preserve">od 1. siječnja do 31. prosinca 2024. godine </w:t>
      </w:r>
      <w:r w:rsidRPr="003D0F7A">
        <w:rPr>
          <w:rFonts w:ascii="Tahoma" w:hAnsi="Tahoma" w:cs="Tahoma"/>
          <w:sz w:val="22"/>
          <w:szCs w:val="22"/>
        </w:rPr>
        <w:t xml:space="preserve">iznose 15.854.840 EUR. Povećanje prihoda od prodaje proizvoda i robe te pruženih usluga u razdoblju </w:t>
      </w:r>
      <w:r w:rsidR="003D0F7A" w:rsidRPr="003D0F7A">
        <w:rPr>
          <w:rFonts w:ascii="Tahoma" w:hAnsi="Tahoma" w:cs="Tahoma"/>
          <w:sz w:val="22"/>
          <w:szCs w:val="22"/>
        </w:rPr>
        <w:t>od 1. siječnja do 31. prosinca 2024. godine</w:t>
      </w:r>
      <w:r w:rsidRPr="003D0F7A">
        <w:rPr>
          <w:rFonts w:ascii="Tahoma" w:hAnsi="Tahoma" w:cs="Tahoma"/>
          <w:sz w:val="22"/>
          <w:szCs w:val="22"/>
        </w:rPr>
        <w:t xml:space="preserve"> u odnosu na isto razdoblje prethodne godine iznosi 13,2%, a rezultat je više ostvarenih prihoda za zdravstvene usluge od fizičkih i pravnih osoba te </w:t>
      </w:r>
      <w:proofErr w:type="spellStart"/>
      <w:r w:rsidRPr="003D0F7A">
        <w:rPr>
          <w:rFonts w:ascii="Tahoma" w:hAnsi="Tahoma" w:cs="Tahoma"/>
          <w:sz w:val="22"/>
          <w:szCs w:val="22"/>
        </w:rPr>
        <w:t>suradnih</w:t>
      </w:r>
      <w:proofErr w:type="spellEnd"/>
      <w:r w:rsidRPr="003D0F7A">
        <w:rPr>
          <w:rFonts w:ascii="Tahoma" w:hAnsi="Tahoma" w:cs="Tahoma"/>
          <w:sz w:val="22"/>
          <w:szCs w:val="22"/>
        </w:rPr>
        <w:t xml:space="preserve"> zdravstvenih ustanova.</w:t>
      </w:r>
    </w:p>
    <w:p w:rsidR="007D464E" w:rsidRPr="00CE0EC7" w:rsidRDefault="007D464E" w:rsidP="007D464E">
      <w:pPr>
        <w:jc w:val="both"/>
        <w:rPr>
          <w:rFonts w:ascii="Tahoma" w:hAnsi="Tahoma" w:cs="Tahoma"/>
          <w:sz w:val="22"/>
          <w:szCs w:val="22"/>
          <w:highlight w:val="lightGray"/>
        </w:rPr>
      </w:pPr>
    </w:p>
    <w:p w:rsidR="007D464E" w:rsidRPr="00CE0EC7" w:rsidRDefault="007D464E" w:rsidP="007D464E">
      <w:pPr>
        <w:jc w:val="both"/>
        <w:rPr>
          <w:rFonts w:ascii="Tahoma" w:hAnsi="Tahoma" w:cs="Tahoma"/>
          <w:sz w:val="22"/>
          <w:szCs w:val="22"/>
          <w:highlight w:val="lightGray"/>
        </w:rPr>
      </w:pPr>
    </w:p>
    <w:tbl>
      <w:tblPr>
        <w:tblStyle w:val="TableGrid"/>
        <w:tblW w:w="0" w:type="auto"/>
        <w:tblLook w:val="04A0" w:firstRow="1" w:lastRow="0" w:firstColumn="1" w:lastColumn="0" w:noHBand="0" w:noVBand="1"/>
      </w:tblPr>
      <w:tblGrid>
        <w:gridCol w:w="2552"/>
        <w:gridCol w:w="1838"/>
        <w:gridCol w:w="1984"/>
        <w:gridCol w:w="2552"/>
      </w:tblGrid>
      <w:tr w:rsidR="007D464E" w:rsidRPr="00CE0EC7" w:rsidTr="007A1C80">
        <w:trPr>
          <w:trHeight w:val="609"/>
        </w:trPr>
        <w:tc>
          <w:tcPr>
            <w:tcW w:w="2552" w:type="dxa"/>
            <w:vMerge w:val="restart"/>
            <w:vAlign w:val="center"/>
          </w:tcPr>
          <w:p w:rsidR="007D464E" w:rsidRPr="003D0F7A" w:rsidRDefault="007D464E" w:rsidP="007A1C80">
            <w:pPr>
              <w:ind w:right="-41"/>
              <w:jc w:val="center"/>
              <w:rPr>
                <w:rFonts w:ascii="Tahoma" w:hAnsi="Tahoma" w:cs="Tahoma"/>
                <w:b/>
                <w:sz w:val="20"/>
                <w:szCs w:val="20"/>
              </w:rPr>
            </w:pPr>
            <w:r w:rsidRPr="003D0F7A">
              <w:rPr>
                <w:rFonts w:ascii="Tahoma" w:hAnsi="Tahoma" w:cs="Tahoma"/>
                <w:b/>
                <w:sz w:val="20"/>
                <w:szCs w:val="20"/>
              </w:rPr>
              <w:t xml:space="preserve">Prihodi od prodaje proizvoda i robe te pruženih usluga </w:t>
            </w:r>
          </w:p>
        </w:tc>
        <w:tc>
          <w:tcPr>
            <w:tcW w:w="1838" w:type="dxa"/>
            <w:vAlign w:val="center"/>
          </w:tcPr>
          <w:p w:rsidR="007D464E" w:rsidRPr="003D0F7A" w:rsidRDefault="007D464E" w:rsidP="007A1C80">
            <w:pPr>
              <w:jc w:val="center"/>
              <w:rPr>
                <w:rFonts w:ascii="Tahoma" w:hAnsi="Tahoma" w:cs="Tahoma"/>
                <w:b/>
                <w:sz w:val="22"/>
                <w:szCs w:val="22"/>
              </w:rPr>
            </w:pPr>
            <w:r w:rsidRPr="003D0F7A">
              <w:rPr>
                <w:rFonts w:ascii="Tahoma" w:hAnsi="Tahoma" w:cs="Tahoma"/>
                <w:b/>
                <w:sz w:val="22"/>
                <w:szCs w:val="22"/>
              </w:rPr>
              <w:t>Izvršenje</w:t>
            </w:r>
          </w:p>
          <w:p w:rsidR="007D464E" w:rsidRPr="003D0F7A" w:rsidRDefault="007D464E" w:rsidP="007A1C80">
            <w:pPr>
              <w:jc w:val="center"/>
              <w:rPr>
                <w:rFonts w:ascii="Tahoma" w:hAnsi="Tahoma" w:cs="Tahoma"/>
                <w:b/>
                <w:sz w:val="22"/>
                <w:szCs w:val="22"/>
              </w:rPr>
            </w:pPr>
            <w:r w:rsidRPr="003D0F7A">
              <w:rPr>
                <w:rFonts w:ascii="Tahoma" w:hAnsi="Tahoma" w:cs="Tahoma"/>
                <w:b/>
                <w:sz w:val="22"/>
                <w:szCs w:val="22"/>
              </w:rPr>
              <w:t>2023</w:t>
            </w:r>
          </w:p>
        </w:tc>
        <w:tc>
          <w:tcPr>
            <w:tcW w:w="1984" w:type="dxa"/>
            <w:vAlign w:val="center"/>
          </w:tcPr>
          <w:p w:rsidR="007D464E" w:rsidRPr="003D0F7A" w:rsidRDefault="007D464E" w:rsidP="007A1C80">
            <w:pPr>
              <w:jc w:val="center"/>
              <w:rPr>
                <w:rFonts w:ascii="Tahoma" w:hAnsi="Tahoma" w:cs="Tahoma"/>
                <w:b/>
                <w:sz w:val="22"/>
                <w:szCs w:val="22"/>
              </w:rPr>
            </w:pPr>
            <w:r w:rsidRPr="003D0F7A">
              <w:rPr>
                <w:rFonts w:ascii="Tahoma" w:hAnsi="Tahoma" w:cs="Tahoma"/>
                <w:b/>
                <w:sz w:val="22"/>
                <w:szCs w:val="22"/>
              </w:rPr>
              <w:t>Izvršenje</w:t>
            </w:r>
          </w:p>
          <w:p w:rsidR="007D464E" w:rsidRPr="003D0F7A" w:rsidRDefault="007D464E" w:rsidP="007A1C80">
            <w:pPr>
              <w:jc w:val="center"/>
              <w:rPr>
                <w:rFonts w:ascii="Tahoma" w:hAnsi="Tahoma" w:cs="Tahoma"/>
                <w:b/>
                <w:sz w:val="22"/>
                <w:szCs w:val="22"/>
              </w:rPr>
            </w:pPr>
            <w:r w:rsidRPr="003D0F7A">
              <w:rPr>
                <w:rFonts w:ascii="Tahoma" w:hAnsi="Tahoma" w:cs="Tahoma"/>
                <w:b/>
                <w:sz w:val="22"/>
                <w:szCs w:val="22"/>
              </w:rPr>
              <w:t>2024</w:t>
            </w:r>
          </w:p>
        </w:tc>
        <w:tc>
          <w:tcPr>
            <w:tcW w:w="2552" w:type="dxa"/>
            <w:vAlign w:val="center"/>
          </w:tcPr>
          <w:p w:rsidR="007D464E" w:rsidRPr="003D0F7A" w:rsidRDefault="007D464E" w:rsidP="007A1C80">
            <w:pPr>
              <w:jc w:val="center"/>
              <w:rPr>
                <w:rFonts w:ascii="Tahoma" w:hAnsi="Tahoma" w:cs="Tahoma"/>
                <w:b/>
                <w:sz w:val="22"/>
                <w:szCs w:val="22"/>
              </w:rPr>
            </w:pPr>
            <w:r w:rsidRPr="003D0F7A">
              <w:rPr>
                <w:rFonts w:ascii="Tahoma" w:hAnsi="Tahoma" w:cs="Tahoma"/>
                <w:b/>
                <w:sz w:val="22"/>
                <w:szCs w:val="22"/>
              </w:rPr>
              <w:t>Indeks</w:t>
            </w:r>
          </w:p>
          <w:p w:rsidR="007D464E" w:rsidRPr="003D0F7A" w:rsidRDefault="007D464E" w:rsidP="007A1C80">
            <w:pPr>
              <w:jc w:val="center"/>
              <w:rPr>
                <w:rFonts w:ascii="Tahoma" w:hAnsi="Tahoma" w:cs="Tahoma"/>
                <w:b/>
                <w:sz w:val="22"/>
                <w:szCs w:val="22"/>
              </w:rPr>
            </w:pPr>
            <w:r w:rsidRPr="003D0F7A">
              <w:rPr>
                <w:rFonts w:ascii="Tahoma" w:hAnsi="Tahoma" w:cs="Tahoma"/>
                <w:b/>
                <w:sz w:val="22"/>
                <w:szCs w:val="22"/>
              </w:rPr>
              <w:t>2024/2023</w:t>
            </w:r>
          </w:p>
        </w:tc>
      </w:tr>
      <w:tr w:rsidR="007D464E" w:rsidRPr="00CE0EC7" w:rsidTr="007A1C80">
        <w:trPr>
          <w:trHeight w:val="447"/>
        </w:trPr>
        <w:tc>
          <w:tcPr>
            <w:tcW w:w="2552" w:type="dxa"/>
            <w:vMerge/>
          </w:tcPr>
          <w:p w:rsidR="007D464E" w:rsidRPr="003D0F7A" w:rsidRDefault="007D464E" w:rsidP="007A1C80">
            <w:pPr>
              <w:jc w:val="both"/>
              <w:rPr>
                <w:rFonts w:ascii="Tahoma" w:hAnsi="Tahoma" w:cs="Tahoma"/>
                <w:b/>
                <w:sz w:val="22"/>
                <w:szCs w:val="22"/>
              </w:rPr>
            </w:pPr>
          </w:p>
        </w:tc>
        <w:tc>
          <w:tcPr>
            <w:tcW w:w="1838" w:type="dxa"/>
            <w:vAlign w:val="center"/>
          </w:tcPr>
          <w:p w:rsidR="007D464E" w:rsidRPr="003D0F7A" w:rsidRDefault="007D464E" w:rsidP="007A1C80">
            <w:pPr>
              <w:jc w:val="right"/>
              <w:rPr>
                <w:rFonts w:ascii="Tahoma" w:hAnsi="Tahoma" w:cs="Tahoma"/>
                <w:b/>
                <w:sz w:val="22"/>
                <w:szCs w:val="22"/>
              </w:rPr>
            </w:pPr>
            <w:r w:rsidRPr="003D0F7A">
              <w:rPr>
                <w:rFonts w:ascii="Tahoma" w:hAnsi="Tahoma" w:cs="Tahoma"/>
                <w:b/>
                <w:sz w:val="22"/>
                <w:szCs w:val="22"/>
              </w:rPr>
              <w:t>14.002.778</w:t>
            </w:r>
          </w:p>
        </w:tc>
        <w:tc>
          <w:tcPr>
            <w:tcW w:w="1984" w:type="dxa"/>
            <w:vAlign w:val="center"/>
          </w:tcPr>
          <w:p w:rsidR="007D464E" w:rsidRPr="003D0F7A" w:rsidRDefault="007D464E" w:rsidP="007A1C80">
            <w:pPr>
              <w:jc w:val="right"/>
              <w:rPr>
                <w:rFonts w:ascii="Tahoma" w:hAnsi="Tahoma" w:cs="Tahoma"/>
                <w:b/>
                <w:sz w:val="22"/>
                <w:szCs w:val="22"/>
              </w:rPr>
            </w:pPr>
            <w:r w:rsidRPr="003D0F7A">
              <w:rPr>
                <w:rFonts w:ascii="Tahoma" w:hAnsi="Tahoma" w:cs="Tahoma"/>
                <w:b/>
                <w:sz w:val="22"/>
                <w:szCs w:val="22"/>
              </w:rPr>
              <w:t>15.854.840</w:t>
            </w:r>
          </w:p>
        </w:tc>
        <w:tc>
          <w:tcPr>
            <w:tcW w:w="2552" w:type="dxa"/>
            <w:vAlign w:val="center"/>
          </w:tcPr>
          <w:p w:rsidR="007D464E" w:rsidRPr="003D0F7A" w:rsidRDefault="007D464E" w:rsidP="007A1C80">
            <w:pPr>
              <w:jc w:val="right"/>
              <w:rPr>
                <w:rFonts w:ascii="Tahoma" w:hAnsi="Tahoma" w:cs="Tahoma"/>
                <w:b/>
                <w:sz w:val="22"/>
                <w:szCs w:val="22"/>
              </w:rPr>
            </w:pPr>
            <w:r w:rsidRPr="003D0F7A">
              <w:rPr>
                <w:rFonts w:ascii="Tahoma" w:hAnsi="Tahoma" w:cs="Tahoma"/>
                <w:b/>
                <w:sz w:val="22"/>
                <w:szCs w:val="22"/>
              </w:rPr>
              <w:t>1,13</w:t>
            </w:r>
          </w:p>
        </w:tc>
      </w:tr>
    </w:tbl>
    <w:p w:rsidR="007D464E" w:rsidRDefault="007D464E" w:rsidP="007D464E">
      <w:pPr>
        <w:jc w:val="both"/>
        <w:rPr>
          <w:rFonts w:ascii="Tahoma" w:hAnsi="Tahoma" w:cs="Tahoma"/>
          <w:sz w:val="22"/>
          <w:szCs w:val="22"/>
          <w:highlight w:val="lightGray"/>
        </w:rPr>
      </w:pPr>
    </w:p>
    <w:p w:rsidR="007D464E" w:rsidRPr="00CE0EC7" w:rsidRDefault="007D464E" w:rsidP="007D464E">
      <w:pPr>
        <w:jc w:val="both"/>
        <w:rPr>
          <w:rFonts w:ascii="Tahoma" w:hAnsi="Tahoma" w:cs="Tahoma"/>
          <w:sz w:val="22"/>
          <w:szCs w:val="22"/>
          <w:highlight w:val="lightGray"/>
        </w:rPr>
      </w:pPr>
    </w:p>
    <w:p w:rsidR="007D464E" w:rsidRPr="009C5EB3" w:rsidRDefault="007D464E" w:rsidP="007D464E">
      <w:pPr>
        <w:pStyle w:val="ListParagraph"/>
        <w:numPr>
          <w:ilvl w:val="2"/>
          <w:numId w:val="1"/>
        </w:numPr>
        <w:ind w:left="993" w:hanging="993"/>
        <w:jc w:val="both"/>
        <w:rPr>
          <w:rFonts w:ascii="Tahoma" w:hAnsi="Tahoma" w:cs="Tahoma"/>
          <w:b/>
          <w:sz w:val="22"/>
          <w:szCs w:val="22"/>
        </w:rPr>
      </w:pPr>
      <w:r w:rsidRPr="009C5EB3">
        <w:rPr>
          <w:rFonts w:ascii="Tahoma" w:hAnsi="Tahoma" w:cs="Tahoma"/>
          <w:b/>
          <w:sz w:val="22"/>
          <w:szCs w:val="22"/>
        </w:rPr>
        <w:t>DONACIJE OD PRAVNIH I FIZIČKIH OSOBA IZVAN OPĆEG PRORAČUNA</w:t>
      </w:r>
    </w:p>
    <w:p w:rsidR="007D464E" w:rsidRPr="009C5EB3" w:rsidRDefault="007D464E" w:rsidP="007D464E">
      <w:pPr>
        <w:jc w:val="both"/>
        <w:rPr>
          <w:rFonts w:ascii="Tahoma" w:hAnsi="Tahoma" w:cs="Tahoma"/>
          <w:sz w:val="22"/>
          <w:szCs w:val="22"/>
        </w:rPr>
      </w:pPr>
    </w:p>
    <w:p w:rsidR="007D464E" w:rsidRPr="009C5EB3" w:rsidRDefault="007D464E" w:rsidP="007D464E">
      <w:pPr>
        <w:jc w:val="both"/>
        <w:rPr>
          <w:rFonts w:ascii="Tahoma" w:hAnsi="Tahoma" w:cs="Tahoma"/>
          <w:sz w:val="22"/>
          <w:szCs w:val="22"/>
        </w:rPr>
      </w:pPr>
      <w:r w:rsidRPr="009C5EB3">
        <w:rPr>
          <w:rFonts w:ascii="Tahoma" w:hAnsi="Tahoma" w:cs="Tahoma"/>
          <w:b/>
          <w:sz w:val="22"/>
          <w:szCs w:val="22"/>
          <w:u w:val="single"/>
        </w:rPr>
        <w:t>Prihodi od donacija od pravnih i fizičkih osoba izvan općeg proračuna (Šifra 663)</w:t>
      </w:r>
      <w:r w:rsidRPr="009C5EB3">
        <w:rPr>
          <w:rFonts w:ascii="Tahoma" w:hAnsi="Tahoma" w:cs="Tahoma"/>
          <w:sz w:val="22"/>
          <w:szCs w:val="22"/>
        </w:rPr>
        <w:t xml:space="preserve"> (lijekovi, medicinska i nemedicinska oprema te financijske donacije) prema proračunskom računovodstvu u razdoblju </w:t>
      </w:r>
      <w:r w:rsidR="009C5EB3" w:rsidRPr="003D0F7A">
        <w:rPr>
          <w:rFonts w:ascii="Tahoma" w:hAnsi="Tahoma" w:cs="Tahoma"/>
          <w:sz w:val="22"/>
          <w:szCs w:val="22"/>
        </w:rPr>
        <w:t>od 1. siječnja do 31. prosinca 2024. godine</w:t>
      </w:r>
      <w:r w:rsidRPr="009C5EB3">
        <w:rPr>
          <w:rFonts w:ascii="Tahoma" w:hAnsi="Tahoma" w:cs="Tahoma"/>
          <w:sz w:val="22"/>
          <w:szCs w:val="22"/>
        </w:rPr>
        <w:t xml:space="preserve"> ostvareni su u iznosu od 19.515.879 EUR što je za 50,3% viš</w:t>
      </w:r>
      <w:r w:rsidR="009C5EB3">
        <w:rPr>
          <w:rFonts w:ascii="Tahoma" w:hAnsi="Tahoma" w:cs="Tahoma"/>
          <w:sz w:val="22"/>
          <w:szCs w:val="22"/>
        </w:rPr>
        <w:t>e u odnosu na isto razdoblje prethodne</w:t>
      </w:r>
      <w:r w:rsidRPr="009C5EB3">
        <w:rPr>
          <w:rFonts w:ascii="Tahoma" w:hAnsi="Tahoma" w:cs="Tahoma"/>
          <w:sz w:val="22"/>
          <w:szCs w:val="22"/>
        </w:rPr>
        <w:t xml:space="preserve"> godine. U razdoblju </w:t>
      </w:r>
      <w:r w:rsidR="009C5EB3" w:rsidRPr="003D0F7A">
        <w:rPr>
          <w:rFonts w:ascii="Tahoma" w:hAnsi="Tahoma" w:cs="Tahoma"/>
          <w:sz w:val="22"/>
          <w:szCs w:val="22"/>
        </w:rPr>
        <w:t>od 1. siječnja do 31. prosinca 2024. godine</w:t>
      </w:r>
      <w:r w:rsidRPr="009C5EB3">
        <w:rPr>
          <w:rFonts w:ascii="Tahoma" w:hAnsi="Tahoma" w:cs="Tahoma"/>
          <w:sz w:val="22"/>
          <w:szCs w:val="22"/>
        </w:rPr>
        <w:t xml:space="preserve"> primljene su donacije lijekova i medicinskog potrošnog materijala od </w:t>
      </w:r>
      <w:r w:rsidRPr="009C5EB3">
        <w:rPr>
          <w:rFonts w:ascii="Tahoma" w:hAnsi="Tahoma" w:cs="Tahoma"/>
          <w:sz w:val="22"/>
          <w:szCs w:val="22"/>
        </w:rPr>
        <w:lastRenderedPageBreak/>
        <w:t xml:space="preserve">trgovačkih društava u iznosu od 10.066.996 EUR te donacije bioloških lijekova u iznosu od </w:t>
      </w:r>
      <w:r w:rsidRPr="009C5EB3">
        <w:rPr>
          <w:rFonts w:ascii="Tahoma" w:hAnsi="Tahoma" w:cs="Tahoma"/>
          <w:bCs/>
          <w:sz w:val="22"/>
          <w:szCs w:val="22"/>
        </w:rPr>
        <w:t>3.872.686 EUR</w:t>
      </w:r>
      <w:r w:rsidRPr="009C5EB3">
        <w:rPr>
          <w:rFonts w:ascii="Tahoma" w:hAnsi="Tahoma" w:cs="Tahoma"/>
          <w:sz w:val="22"/>
          <w:szCs w:val="22"/>
        </w:rPr>
        <w:t xml:space="preserve"> za potrebe kućne terapije.</w:t>
      </w:r>
    </w:p>
    <w:p w:rsidR="007D464E" w:rsidRPr="009C5EB3" w:rsidRDefault="007D464E" w:rsidP="007D464E">
      <w:pPr>
        <w:jc w:val="both"/>
        <w:rPr>
          <w:rFonts w:ascii="Tahoma" w:hAnsi="Tahoma" w:cs="Tahoma"/>
          <w:sz w:val="22"/>
          <w:szCs w:val="22"/>
        </w:rPr>
      </w:pPr>
      <w:r w:rsidRPr="009C5EB3">
        <w:rPr>
          <w:rFonts w:ascii="Tahoma" w:hAnsi="Tahoma" w:cs="Tahoma"/>
          <w:sz w:val="22"/>
          <w:szCs w:val="22"/>
        </w:rPr>
        <w:t xml:space="preserve">U razdoblju </w:t>
      </w:r>
      <w:r w:rsidR="0091422A" w:rsidRPr="003D0F7A">
        <w:rPr>
          <w:rFonts w:ascii="Tahoma" w:hAnsi="Tahoma" w:cs="Tahoma"/>
          <w:sz w:val="22"/>
          <w:szCs w:val="22"/>
        </w:rPr>
        <w:t>od 1. siječnja do 31. prosinca 2024. godine</w:t>
      </w:r>
      <w:r w:rsidRPr="009C5EB3">
        <w:rPr>
          <w:rFonts w:ascii="Tahoma" w:hAnsi="Tahoma" w:cs="Tahoma"/>
          <w:sz w:val="22"/>
          <w:szCs w:val="22"/>
        </w:rPr>
        <w:t xml:space="preserve"> primljene su kapitalne donacije (donacije u novcu namijenjene za kapitalna ulaganja – nabava opreme i donacije u stvarima – opremi) u iznosu od 5.458.484 EUR od čega se najznačajnije stavke odnose na donacije trgovačkih društava u opremi (opremanje prostora Laboratorija za provođenje sveobuhvatnog genskog profiliranja tumora pri Zavodu za personaliziranu medicinu, uređaj za sterilno spajanje plastičnih linija, sustav za terapijsk</w:t>
      </w:r>
      <w:r w:rsidR="005371B2">
        <w:rPr>
          <w:rFonts w:ascii="Tahoma" w:hAnsi="Tahoma" w:cs="Tahoma"/>
          <w:sz w:val="22"/>
          <w:szCs w:val="22"/>
        </w:rPr>
        <w:t xml:space="preserve">u </w:t>
      </w:r>
      <w:proofErr w:type="spellStart"/>
      <w:r w:rsidR="005371B2">
        <w:rPr>
          <w:rFonts w:ascii="Tahoma" w:hAnsi="Tahoma" w:cs="Tahoma"/>
          <w:sz w:val="22"/>
          <w:szCs w:val="22"/>
        </w:rPr>
        <w:t>hipotermiju</w:t>
      </w:r>
      <w:proofErr w:type="spellEnd"/>
      <w:r w:rsidR="005371B2">
        <w:rPr>
          <w:rFonts w:ascii="Tahoma" w:hAnsi="Tahoma" w:cs="Tahoma"/>
          <w:sz w:val="22"/>
          <w:szCs w:val="22"/>
        </w:rPr>
        <w:t xml:space="preserve"> 2 kom. i 10 </w:t>
      </w:r>
      <w:proofErr w:type="spellStart"/>
      <w:r w:rsidR="005371B2">
        <w:rPr>
          <w:rFonts w:ascii="Tahoma" w:hAnsi="Tahoma" w:cs="Tahoma"/>
          <w:sz w:val="22"/>
          <w:szCs w:val="22"/>
        </w:rPr>
        <w:t>perfuz</w:t>
      </w:r>
      <w:r w:rsidRPr="009C5EB3">
        <w:rPr>
          <w:rFonts w:ascii="Tahoma" w:hAnsi="Tahoma" w:cs="Tahoma"/>
          <w:sz w:val="22"/>
          <w:szCs w:val="22"/>
        </w:rPr>
        <w:t>ora</w:t>
      </w:r>
      <w:proofErr w:type="spellEnd"/>
      <w:r w:rsidRPr="009C5EB3">
        <w:rPr>
          <w:rFonts w:ascii="Tahoma" w:hAnsi="Tahoma" w:cs="Tahoma"/>
          <w:sz w:val="22"/>
          <w:szCs w:val="22"/>
        </w:rPr>
        <w:t>). Najznačajnije donacije primljene od trgovačkih društava u novcu namijenjene su za nabavu UZV uređaja, zračne pošte za hitni laboratorij i medicinskog kirurškog uređaja koji omogućuje liječenje više patologija u ginekološkom polju.</w:t>
      </w:r>
    </w:p>
    <w:p w:rsidR="007D464E" w:rsidRPr="009C5EB3" w:rsidRDefault="007D464E" w:rsidP="007D464E">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838"/>
        <w:gridCol w:w="1984"/>
        <w:gridCol w:w="2552"/>
      </w:tblGrid>
      <w:tr w:rsidR="007D464E" w:rsidRPr="009C5EB3" w:rsidTr="007A1C80">
        <w:trPr>
          <w:trHeight w:val="609"/>
        </w:trPr>
        <w:tc>
          <w:tcPr>
            <w:tcW w:w="2552" w:type="dxa"/>
            <w:vMerge w:val="restart"/>
            <w:vAlign w:val="center"/>
          </w:tcPr>
          <w:p w:rsidR="007D464E" w:rsidRPr="009C5EB3" w:rsidRDefault="007D464E" w:rsidP="007A1C80">
            <w:pPr>
              <w:ind w:right="-41"/>
              <w:jc w:val="center"/>
              <w:rPr>
                <w:rFonts w:ascii="Tahoma" w:hAnsi="Tahoma" w:cs="Tahoma"/>
                <w:b/>
                <w:sz w:val="20"/>
                <w:szCs w:val="20"/>
              </w:rPr>
            </w:pPr>
            <w:r w:rsidRPr="009C5EB3">
              <w:rPr>
                <w:rFonts w:ascii="Tahoma" w:hAnsi="Tahoma" w:cs="Tahoma"/>
                <w:b/>
                <w:sz w:val="20"/>
                <w:szCs w:val="20"/>
              </w:rPr>
              <w:t>Prihodi od donacija od pravnih i fizičkih osoba izvan općeg proračuna</w:t>
            </w:r>
          </w:p>
        </w:tc>
        <w:tc>
          <w:tcPr>
            <w:tcW w:w="1838" w:type="dxa"/>
            <w:vAlign w:val="center"/>
          </w:tcPr>
          <w:p w:rsidR="007D464E" w:rsidRPr="009C5EB3" w:rsidRDefault="007D464E" w:rsidP="007A1C80">
            <w:pPr>
              <w:jc w:val="center"/>
              <w:rPr>
                <w:rFonts w:ascii="Tahoma" w:hAnsi="Tahoma" w:cs="Tahoma"/>
                <w:b/>
                <w:sz w:val="22"/>
                <w:szCs w:val="22"/>
              </w:rPr>
            </w:pPr>
            <w:r w:rsidRPr="009C5EB3">
              <w:rPr>
                <w:rFonts w:ascii="Tahoma" w:hAnsi="Tahoma" w:cs="Tahoma"/>
                <w:b/>
                <w:sz w:val="22"/>
                <w:szCs w:val="22"/>
              </w:rPr>
              <w:t>Izvršenje</w:t>
            </w:r>
          </w:p>
          <w:p w:rsidR="007D464E" w:rsidRPr="009C5EB3" w:rsidRDefault="007D464E" w:rsidP="007A1C80">
            <w:pPr>
              <w:jc w:val="center"/>
              <w:rPr>
                <w:rFonts w:ascii="Tahoma" w:hAnsi="Tahoma" w:cs="Tahoma"/>
                <w:b/>
                <w:sz w:val="22"/>
                <w:szCs w:val="22"/>
              </w:rPr>
            </w:pPr>
            <w:r w:rsidRPr="009C5EB3">
              <w:rPr>
                <w:rFonts w:ascii="Tahoma" w:hAnsi="Tahoma" w:cs="Tahoma"/>
                <w:b/>
                <w:sz w:val="22"/>
                <w:szCs w:val="22"/>
              </w:rPr>
              <w:t>2023</w:t>
            </w:r>
          </w:p>
        </w:tc>
        <w:tc>
          <w:tcPr>
            <w:tcW w:w="1984" w:type="dxa"/>
            <w:vAlign w:val="center"/>
          </w:tcPr>
          <w:p w:rsidR="007D464E" w:rsidRPr="009C5EB3" w:rsidRDefault="007D464E" w:rsidP="007A1C80">
            <w:pPr>
              <w:jc w:val="center"/>
              <w:rPr>
                <w:rFonts w:ascii="Tahoma" w:hAnsi="Tahoma" w:cs="Tahoma"/>
                <w:b/>
                <w:sz w:val="22"/>
                <w:szCs w:val="22"/>
              </w:rPr>
            </w:pPr>
            <w:r w:rsidRPr="009C5EB3">
              <w:rPr>
                <w:rFonts w:ascii="Tahoma" w:hAnsi="Tahoma" w:cs="Tahoma"/>
                <w:b/>
                <w:sz w:val="22"/>
                <w:szCs w:val="22"/>
              </w:rPr>
              <w:t>Izvršenje</w:t>
            </w:r>
          </w:p>
          <w:p w:rsidR="007D464E" w:rsidRPr="009C5EB3" w:rsidRDefault="007D464E" w:rsidP="007A1C80">
            <w:pPr>
              <w:jc w:val="center"/>
              <w:rPr>
                <w:rFonts w:ascii="Tahoma" w:hAnsi="Tahoma" w:cs="Tahoma"/>
                <w:b/>
                <w:sz w:val="22"/>
                <w:szCs w:val="22"/>
              </w:rPr>
            </w:pPr>
            <w:r w:rsidRPr="009C5EB3">
              <w:rPr>
                <w:rFonts w:ascii="Tahoma" w:hAnsi="Tahoma" w:cs="Tahoma"/>
                <w:b/>
                <w:sz w:val="22"/>
                <w:szCs w:val="22"/>
              </w:rPr>
              <w:t>2024</w:t>
            </w:r>
          </w:p>
        </w:tc>
        <w:tc>
          <w:tcPr>
            <w:tcW w:w="2552" w:type="dxa"/>
            <w:vAlign w:val="center"/>
          </w:tcPr>
          <w:p w:rsidR="007D464E" w:rsidRPr="009C5EB3" w:rsidRDefault="007D464E" w:rsidP="007A1C80">
            <w:pPr>
              <w:jc w:val="center"/>
              <w:rPr>
                <w:rFonts w:ascii="Tahoma" w:hAnsi="Tahoma" w:cs="Tahoma"/>
                <w:b/>
                <w:sz w:val="22"/>
                <w:szCs w:val="22"/>
              </w:rPr>
            </w:pPr>
            <w:r w:rsidRPr="009C5EB3">
              <w:rPr>
                <w:rFonts w:ascii="Tahoma" w:hAnsi="Tahoma" w:cs="Tahoma"/>
                <w:b/>
                <w:sz w:val="22"/>
                <w:szCs w:val="22"/>
              </w:rPr>
              <w:t>Indeks</w:t>
            </w:r>
          </w:p>
          <w:p w:rsidR="007D464E" w:rsidRPr="009C5EB3" w:rsidRDefault="007D464E" w:rsidP="007A1C80">
            <w:pPr>
              <w:jc w:val="center"/>
              <w:rPr>
                <w:rFonts w:ascii="Tahoma" w:hAnsi="Tahoma" w:cs="Tahoma"/>
                <w:b/>
                <w:sz w:val="22"/>
                <w:szCs w:val="22"/>
              </w:rPr>
            </w:pPr>
            <w:r w:rsidRPr="009C5EB3">
              <w:rPr>
                <w:rFonts w:ascii="Tahoma" w:hAnsi="Tahoma" w:cs="Tahoma"/>
                <w:b/>
                <w:sz w:val="22"/>
                <w:szCs w:val="22"/>
              </w:rPr>
              <w:t>2024/2023</w:t>
            </w:r>
          </w:p>
        </w:tc>
      </w:tr>
      <w:tr w:rsidR="007D464E" w:rsidRPr="00CE0EC7" w:rsidTr="007A1C80">
        <w:trPr>
          <w:trHeight w:val="447"/>
        </w:trPr>
        <w:tc>
          <w:tcPr>
            <w:tcW w:w="2552" w:type="dxa"/>
            <w:vMerge/>
          </w:tcPr>
          <w:p w:rsidR="007D464E" w:rsidRPr="009C5EB3" w:rsidRDefault="007D464E" w:rsidP="007A1C80">
            <w:pPr>
              <w:jc w:val="both"/>
              <w:rPr>
                <w:rFonts w:ascii="Tahoma" w:hAnsi="Tahoma" w:cs="Tahoma"/>
                <w:b/>
                <w:sz w:val="22"/>
                <w:szCs w:val="22"/>
              </w:rPr>
            </w:pPr>
          </w:p>
        </w:tc>
        <w:tc>
          <w:tcPr>
            <w:tcW w:w="1838" w:type="dxa"/>
            <w:vAlign w:val="center"/>
          </w:tcPr>
          <w:p w:rsidR="007D464E" w:rsidRPr="009C5EB3" w:rsidRDefault="007D464E" w:rsidP="007A1C80">
            <w:pPr>
              <w:jc w:val="right"/>
              <w:rPr>
                <w:rFonts w:ascii="Tahoma" w:hAnsi="Tahoma" w:cs="Tahoma"/>
                <w:b/>
                <w:sz w:val="22"/>
                <w:szCs w:val="22"/>
              </w:rPr>
            </w:pPr>
            <w:r w:rsidRPr="009C5EB3">
              <w:rPr>
                <w:rFonts w:ascii="Tahoma" w:hAnsi="Tahoma" w:cs="Tahoma"/>
                <w:b/>
                <w:sz w:val="22"/>
                <w:szCs w:val="22"/>
              </w:rPr>
              <w:t>12.982.896</w:t>
            </w:r>
          </w:p>
        </w:tc>
        <w:tc>
          <w:tcPr>
            <w:tcW w:w="1984" w:type="dxa"/>
            <w:vAlign w:val="center"/>
          </w:tcPr>
          <w:p w:rsidR="007D464E" w:rsidRPr="009C5EB3" w:rsidRDefault="007D464E" w:rsidP="007A1C80">
            <w:pPr>
              <w:jc w:val="right"/>
              <w:rPr>
                <w:rFonts w:ascii="Tahoma" w:hAnsi="Tahoma" w:cs="Tahoma"/>
                <w:b/>
                <w:sz w:val="22"/>
                <w:szCs w:val="22"/>
              </w:rPr>
            </w:pPr>
            <w:r w:rsidRPr="009C5EB3">
              <w:rPr>
                <w:rFonts w:ascii="Tahoma" w:hAnsi="Tahoma" w:cs="Tahoma"/>
                <w:b/>
                <w:sz w:val="22"/>
                <w:szCs w:val="22"/>
              </w:rPr>
              <w:t>19.515.879</w:t>
            </w:r>
          </w:p>
        </w:tc>
        <w:tc>
          <w:tcPr>
            <w:tcW w:w="2552" w:type="dxa"/>
            <w:vAlign w:val="center"/>
          </w:tcPr>
          <w:p w:rsidR="007D464E" w:rsidRPr="009C5EB3" w:rsidRDefault="007D464E" w:rsidP="007A1C80">
            <w:pPr>
              <w:jc w:val="right"/>
              <w:rPr>
                <w:rFonts w:ascii="Tahoma" w:hAnsi="Tahoma" w:cs="Tahoma"/>
                <w:b/>
                <w:sz w:val="22"/>
                <w:szCs w:val="22"/>
              </w:rPr>
            </w:pPr>
            <w:r w:rsidRPr="009C5EB3">
              <w:rPr>
                <w:rFonts w:ascii="Tahoma" w:hAnsi="Tahoma" w:cs="Tahoma"/>
                <w:b/>
                <w:sz w:val="22"/>
                <w:szCs w:val="22"/>
              </w:rPr>
              <w:t>1,50</w:t>
            </w:r>
          </w:p>
        </w:tc>
      </w:tr>
    </w:tbl>
    <w:p w:rsidR="007D464E" w:rsidRPr="00CE0EC7" w:rsidRDefault="007D464E" w:rsidP="007D464E">
      <w:pPr>
        <w:jc w:val="both"/>
        <w:rPr>
          <w:rFonts w:ascii="Tahoma" w:hAnsi="Tahoma" w:cs="Tahoma"/>
          <w:sz w:val="22"/>
          <w:szCs w:val="22"/>
          <w:highlight w:val="lightGray"/>
        </w:rPr>
      </w:pPr>
    </w:p>
    <w:p w:rsidR="007D464E" w:rsidRDefault="007D464E" w:rsidP="007D464E">
      <w:pPr>
        <w:jc w:val="both"/>
        <w:rPr>
          <w:rFonts w:ascii="Tahoma" w:hAnsi="Tahoma" w:cs="Tahoma"/>
          <w:sz w:val="22"/>
          <w:szCs w:val="22"/>
          <w:highlight w:val="lightGray"/>
        </w:rPr>
      </w:pPr>
    </w:p>
    <w:p w:rsidR="007D464E" w:rsidRPr="0091422A" w:rsidRDefault="007D464E" w:rsidP="007D464E">
      <w:pPr>
        <w:pStyle w:val="ListParagraph"/>
        <w:numPr>
          <w:ilvl w:val="1"/>
          <w:numId w:val="1"/>
        </w:numPr>
        <w:shd w:val="clear" w:color="auto" w:fill="FFFFFF"/>
        <w:ind w:left="709" w:hanging="709"/>
        <w:jc w:val="both"/>
        <w:rPr>
          <w:rFonts w:ascii="Tahoma" w:hAnsi="Tahoma" w:cs="Tahoma"/>
          <w:b/>
          <w:sz w:val="22"/>
          <w:szCs w:val="22"/>
        </w:rPr>
      </w:pPr>
      <w:r w:rsidRPr="0091422A">
        <w:rPr>
          <w:rFonts w:ascii="Tahoma" w:hAnsi="Tahoma" w:cs="Tahoma"/>
          <w:b/>
          <w:sz w:val="22"/>
          <w:szCs w:val="22"/>
        </w:rPr>
        <w:t>PRIHODI IZ NADLEŽNOG PRORAČUNA ZA FINANCIRANJE REDOVNE DJELATNOSTI PRORAČUNSKIH KORISNIKA</w:t>
      </w:r>
    </w:p>
    <w:p w:rsidR="007D464E" w:rsidRPr="0091422A" w:rsidRDefault="007D464E" w:rsidP="007D464E">
      <w:pPr>
        <w:shd w:val="clear" w:color="auto" w:fill="FFFFFF"/>
        <w:jc w:val="both"/>
        <w:rPr>
          <w:rFonts w:ascii="Tahoma" w:hAnsi="Tahoma" w:cs="Tahoma"/>
          <w:sz w:val="22"/>
          <w:szCs w:val="22"/>
        </w:rPr>
      </w:pPr>
    </w:p>
    <w:p w:rsidR="007D464E" w:rsidRPr="0091422A" w:rsidRDefault="007D464E" w:rsidP="007D464E">
      <w:pPr>
        <w:jc w:val="both"/>
        <w:rPr>
          <w:rFonts w:ascii="Tahoma" w:hAnsi="Tahoma" w:cs="Tahoma"/>
          <w:sz w:val="22"/>
          <w:szCs w:val="22"/>
        </w:rPr>
      </w:pPr>
      <w:r w:rsidRPr="0091422A">
        <w:rPr>
          <w:rFonts w:ascii="Tahoma" w:hAnsi="Tahoma" w:cs="Tahoma"/>
          <w:b/>
          <w:sz w:val="22"/>
          <w:szCs w:val="22"/>
          <w:u w:val="single"/>
        </w:rPr>
        <w:t>Prihodi iz nadležnog proračuna za financiranje redovne djelatnosti proračunskih korisnika (Šifra 671)</w:t>
      </w:r>
      <w:r w:rsidRPr="0091422A">
        <w:rPr>
          <w:rFonts w:ascii="Tahoma" w:hAnsi="Tahoma" w:cs="Tahoma"/>
          <w:sz w:val="22"/>
          <w:szCs w:val="22"/>
        </w:rPr>
        <w:t xml:space="preserve"> u razdoblju </w:t>
      </w:r>
      <w:r w:rsidR="0091422A" w:rsidRPr="003D0F7A">
        <w:rPr>
          <w:rFonts w:ascii="Tahoma" w:hAnsi="Tahoma" w:cs="Tahoma"/>
          <w:sz w:val="22"/>
          <w:szCs w:val="22"/>
        </w:rPr>
        <w:t>od 1. siječnja do 31. prosinca 2024. godine</w:t>
      </w:r>
      <w:r w:rsidRPr="0091422A">
        <w:rPr>
          <w:rFonts w:ascii="Tahoma" w:hAnsi="Tahoma" w:cs="Tahoma"/>
          <w:sz w:val="22"/>
          <w:szCs w:val="22"/>
        </w:rPr>
        <w:t xml:space="preserve"> iznose 99.670.761 EUR. Povećanje prihoda iz nadležnog proračuna u razdoblju </w:t>
      </w:r>
      <w:r w:rsidR="0091422A" w:rsidRPr="003D0F7A">
        <w:rPr>
          <w:rFonts w:ascii="Tahoma" w:hAnsi="Tahoma" w:cs="Tahoma"/>
          <w:sz w:val="22"/>
          <w:szCs w:val="22"/>
        </w:rPr>
        <w:t>od 1. siječnja do 31. prosinca 2024. godine</w:t>
      </w:r>
      <w:r w:rsidRPr="0091422A">
        <w:rPr>
          <w:rFonts w:ascii="Tahoma" w:hAnsi="Tahoma" w:cs="Tahoma"/>
          <w:sz w:val="22"/>
          <w:szCs w:val="22"/>
        </w:rPr>
        <w:t xml:space="preserve"> u odnosu na isto razdoblje prethodne godine iznosi 64,5%, a rezultat je više ostvarenih prihoda iz nadležnog proračuna za financiranje rashoda za nabavu nefinancijske imovine obzirom da su se projekti obnove zgrada oštećenih potresom na području Grada Zagreba, Krapinsko-zagorske županije, Zagrebačke županije, Sisačko-moslavačke županije i Karlovačke županije nastavili financirati iz sredstava državnog proračuna nakon što je završeno korištenje sredstava Fonda solidarnosti Europske unije (iznos 62.435.220 EUR).</w:t>
      </w:r>
    </w:p>
    <w:p w:rsidR="007D464E" w:rsidRPr="00CE0EC7" w:rsidRDefault="007D464E" w:rsidP="007D464E">
      <w:pPr>
        <w:jc w:val="both"/>
        <w:rPr>
          <w:rFonts w:ascii="Tahoma" w:hAnsi="Tahoma" w:cs="Tahoma"/>
          <w:sz w:val="22"/>
          <w:szCs w:val="22"/>
          <w:highlight w:val="lightGray"/>
        </w:rPr>
      </w:pPr>
    </w:p>
    <w:tbl>
      <w:tblPr>
        <w:tblStyle w:val="TableGrid"/>
        <w:tblW w:w="0" w:type="auto"/>
        <w:tblLook w:val="04A0" w:firstRow="1" w:lastRow="0" w:firstColumn="1" w:lastColumn="0" w:noHBand="0" w:noVBand="1"/>
      </w:tblPr>
      <w:tblGrid>
        <w:gridCol w:w="2552"/>
        <w:gridCol w:w="1838"/>
        <w:gridCol w:w="1984"/>
        <w:gridCol w:w="2552"/>
      </w:tblGrid>
      <w:tr w:rsidR="007D464E" w:rsidRPr="00CE0EC7" w:rsidTr="007A1C80">
        <w:trPr>
          <w:trHeight w:val="609"/>
        </w:trPr>
        <w:tc>
          <w:tcPr>
            <w:tcW w:w="2552" w:type="dxa"/>
            <w:vMerge w:val="restart"/>
            <w:vAlign w:val="center"/>
          </w:tcPr>
          <w:p w:rsidR="007D464E" w:rsidRPr="0091422A" w:rsidRDefault="007D464E" w:rsidP="007A1C80">
            <w:pPr>
              <w:ind w:right="-41"/>
              <w:jc w:val="center"/>
              <w:rPr>
                <w:rFonts w:ascii="Tahoma" w:hAnsi="Tahoma" w:cs="Tahoma"/>
                <w:b/>
                <w:sz w:val="20"/>
                <w:szCs w:val="20"/>
              </w:rPr>
            </w:pPr>
            <w:r w:rsidRPr="0091422A">
              <w:rPr>
                <w:rFonts w:ascii="Tahoma" w:hAnsi="Tahoma" w:cs="Tahoma"/>
                <w:b/>
                <w:sz w:val="20"/>
                <w:szCs w:val="20"/>
              </w:rPr>
              <w:t>Prihodi iz nadležnog proračuna za financiranje redovne djelatnosti</w:t>
            </w:r>
          </w:p>
        </w:tc>
        <w:tc>
          <w:tcPr>
            <w:tcW w:w="1838" w:type="dxa"/>
            <w:vAlign w:val="center"/>
          </w:tcPr>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Izvršenje</w:t>
            </w:r>
          </w:p>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2023</w:t>
            </w:r>
          </w:p>
        </w:tc>
        <w:tc>
          <w:tcPr>
            <w:tcW w:w="1984" w:type="dxa"/>
            <w:vAlign w:val="center"/>
          </w:tcPr>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Izvršenje</w:t>
            </w:r>
          </w:p>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2024</w:t>
            </w:r>
          </w:p>
        </w:tc>
        <w:tc>
          <w:tcPr>
            <w:tcW w:w="2552" w:type="dxa"/>
            <w:vAlign w:val="center"/>
          </w:tcPr>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Indeks</w:t>
            </w:r>
          </w:p>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2024/2023</w:t>
            </w:r>
          </w:p>
        </w:tc>
      </w:tr>
      <w:tr w:rsidR="007D464E" w:rsidRPr="00CE0EC7" w:rsidTr="007A1C80">
        <w:trPr>
          <w:trHeight w:val="447"/>
        </w:trPr>
        <w:tc>
          <w:tcPr>
            <w:tcW w:w="2552" w:type="dxa"/>
            <w:vMerge/>
          </w:tcPr>
          <w:p w:rsidR="007D464E" w:rsidRPr="0091422A" w:rsidRDefault="007D464E" w:rsidP="007A1C80">
            <w:pPr>
              <w:jc w:val="both"/>
              <w:rPr>
                <w:rFonts w:ascii="Tahoma" w:hAnsi="Tahoma" w:cs="Tahoma"/>
                <w:b/>
                <w:sz w:val="22"/>
                <w:szCs w:val="22"/>
              </w:rPr>
            </w:pPr>
          </w:p>
        </w:tc>
        <w:tc>
          <w:tcPr>
            <w:tcW w:w="1838" w:type="dxa"/>
            <w:vAlign w:val="center"/>
          </w:tcPr>
          <w:p w:rsidR="007D464E" w:rsidRPr="0091422A" w:rsidRDefault="007D464E" w:rsidP="007A1C80">
            <w:pPr>
              <w:jc w:val="right"/>
              <w:rPr>
                <w:rFonts w:ascii="Tahoma" w:hAnsi="Tahoma" w:cs="Tahoma"/>
                <w:b/>
                <w:sz w:val="22"/>
                <w:szCs w:val="22"/>
              </w:rPr>
            </w:pPr>
            <w:r w:rsidRPr="0091422A">
              <w:rPr>
                <w:rFonts w:ascii="Tahoma" w:hAnsi="Tahoma" w:cs="Tahoma"/>
                <w:b/>
                <w:sz w:val="22"/>
                <w:szCs w:val="22"/>
              </w:rPr>
              <w:t>60.593.796</w:t>
            </w:r>
          </w:p>
        </w:tc>
        <w:tc>
          <w:tcPr>
            <w:tcW w:w="1984" w:type="dxa"/>
            <w:vAlign w:val="center"/>
          </w:tcPr>
          <w:p w:rsidR="007D464E" w:rsidRPr="0091422A" w:rsidRDefault="007D464E" w:rsidP="007A1C80">
            <w:pPr>
              <w:jc w:val="right"/>
              <w:rPr>
                <w:rFonts w:ascii="Tahoma" w:hAnsi="Tahoma" w:cs="Tahoma"/>
                <w:b/>
                <w:sz w:val="22"/>
                <w:szCs w:val="22"/>
              </w:rPr>
            </w:pPr>
            <w:r w:rsidRPr="0091422A">
              <w:rPr>
                <w:rFonts w:ascii="Tahoma" w:hAnsi="Tahoma" w:cs="Tahoma"/>
                <w:b/>
                <w:sz w:val="22"/>
                <w:szCs w:val="22"/>
              </w:rPr>
              <w:t>99.670.761</w:t>
            </w:r>
          </w:p>
        </w:tc>
        <w:tc>
          <w:tcPr>
            <w:tcW w:w="2552" w:type="dxa"/>
            <w:vAlign w:val="center"/>
          </w:tcPr>
          <w:p w:rsidR="007D464E" w:rsidRPr="0091422A" w:rsidRDefault="007D464E" w:rsidP="007A1C80">
            <w:pPr>
              <w:jc w:val="right"/>
              <w:rPr>
                <w:rFonts w:ascii="Tahoma" w:hAnsi="Tahoma" w:cs="Tahoma"/>
                <w:b/>
                <w:sz w:val="22"/>
                <w:szCs w:val="22"/>
              </w:rPr>
            </w:pPr>
            <w:r w:rsidRPr="0091422A">
              <w:rPr>
                <w:rFonts w:ascii="Tahoma" w:hAnsi="Tahoma" w:cs="Tahoma"/>
                <w:b/>
                <w:sz w:val="22"/>
                <w:szCs w:val="22"/>
              </w:rPr>
              <w:t>1,65</w:t>
            </w:r>
          </w:p>
        </w:tc>
      </w:tr>
    </w:tbl>
    <w:p w:rsidR="007D464E" w:rsidRPr="00CE0EC7" w:rsidRDefault="007D464E" w:rsidP="007D464E">
      <w:pPr>
        <w:jc w:val="both"/>
        <w:rPr>
          <w:rFonts w:ascii="Tahoma" w:hAnsi="Tahoma" w:cs="Tahoma"/>
          <w:sz w:val="22"/>
          <w:szCs w:val="22"/>
          <w:highlight w:val="lightGray"/>
        </w:rPr>
      </w:pPr>
    </w:p>
    <w:p w:rsidR="007D464E" w:rsidRPr="0091422A" w:rsidRDefault="007D464E" w:rsidP="007D464E">
      <w:pPr>
        <w:pStyle w:val="ListParagraph"/>
        <w:numPr>
          <w:ilvl w:val="1"/>
          <w:numId w:val="1"/>
        </w:numPr>
        <w:shd w:val="clear" w:color="auto" w:fill="FFFFFF"/>
        <w:ind w:left="993" w:hanging="1080"/>
        <w:jc w:val="both"/>
        <w:rPr>
          <w:rFonts w:ascii="Tahoma" w:hAnsi="Tahoma" w:cs="Tahoma"/>
          <w:b/>
          <w:sz w:val="22"/>
          <w:szCs w:val="22"/>
        </w:rPr>
      </w:pPr>
      <w:r w:rsidRPr="0091422A">
        <w:rPr>
          <w:rFonts w:ascii="Tahoma" w:hAnsi="Tahoma" w:cs="Tahoma"/>
          <w:b/>
          <w:sz w:val="22"/>
          <w:szCs w:val="22"/>
        </w:rPr>
        <w:t>OSTALI PRIHODI</w:t>
      </w:r>
    </w:p>
    <w:p w:rsidR="007D464E" w:rsidRPr="0091422A" w:rsidRDefault="007D464E" w:rsidP="007D464E">
      <w:pPr>
        <w:jc w:val="both"/>
        <w:rPr>
          <w:rFonts w:ascii="Tahoma" w:hAnsi="Tahoma" w:cs="Tahoma"/>
          <w:b/>
          <w:sz w:val="22"/>
          <w:szCs w:val="22"/>
          <w:u w:val="single"/>
        </w:rPr>
      </w:pPr>
    </w:p>
    <w:p w:rsidR="007D464E" w:rsidRPr="0091422A" w:rsidRDefault="007D464E" w:rsidP="007D464E">
      <w:pPr>
        <w:jc w:val="both"/>
        <w:rPr>
          <w:rFonts w:ascii="Tahoma" w:hAnsi="Tahoma" w:cs="Tahoma"/>
          <w:sz w:val="22"/>
          <w:szCs w:val="22"/>
        </w:rPr>
      </w:pPr>
      <w:r w:rsidRPr="0091422A">
        <w:rPr>
          <w:rFonts w:ascii="Tahoma" w:hAnsi="Tahoma" w:cs="Tahoma"/>
          <w:b/>
          <w:sz w:val="22"/>
          <w:szCs w:val="22"/>
          <w:u w:val="single"/>
        </w:rPr>
        <w:t>Ostali prihodi (Šifra 683</w:t>
      </w:r>
      <w:r w:rsidRPr="0091422A">
        <w:rPr>
          <w:rFonts w:ascii="Tahoma" w:hAnsi="Tahoma" w:cs="Tahoma"/>
          <w:sz w:val="22"/>
          <w:szCs w:val="22"/>
        </w:rPr>
        <w:t xml:space="preserve">) u razdoblju </w:t>
      </w:r>
      <w:r w:rsidR="0091422A" w:rsidRPr="003D0F7A">
        <w:rPr>
          <w:rFonts w:ascii="Tahoma" w:hAnsi="Tahoma" w:cs="Tahoma"/>
          <w:sz w:val="22"/>
          <w:szCs w:val="22"/>
        </w:rPr>
        <w:t>od 1. siječnja do 31. prosinca 2024. godine</w:t>
      </w:r>
      <w:r w:rsidRPr="0091422A">
        <w:rPr>
          <w:rFonts w:ascii="Tahoma" w:hAnsi="Tahoma" w:cs="Tahoma"/>
          <w:sz w:val="22"/>
          <w:szCs w:val="22"/>
        </w:rPr>
        <w:t xml:space="preserve"> iznose 3.901.683 EUR. Povećanje ostalih prihoda u razdoblju </w:t>
      </w:r>
      <w:r w:rsidR="0091422A" w:rsidRPr="003D0F7A">
        <w:rPr>
          <w:rFonts w:ascii="Tahoma" w:hAnsi="Tahoma" w:cs="Tahoma"/>
          <w:sz w:val="22"/>
          <w:szCs w:val="22"/>
        </w:rPr>
        <w:t>od 1. siječnja do 31. prosinca 2024. godine</w:t>
      </w:r>
      <w:r w:rsidRPr="0091422A">
        <w:rPr>
          <w:rFonts w:ascii="Tahoma" w:hAnsi="Tahoma" w:cs="Tahoma"/>
          <w:sz w:val="22"/>
          <w:szCs w:val="22"/>
        </w:rPr>
        <w:t xml:space="preserve"> u odnosu na isto razdoblje prethodne godine iznosi 45,1%, a rezultat je više ostvarenih viškova lijekova.</w:t>
      </w:r>
    </w:p>
    <w:p w:rsidR="007D464E" w:rsidRPr="0091422A" w:rsidRDefault="007D464E" w:rsidP="007D464E">
      <w:pPr>
        <w:jc w:val="both"/>
        <w:rPr>
          <w:rFonts w:ascii="Tahoma" w:hAnsi="Tahoma" w:cs="Tahoma"/>
          <w:sz w:val="22"/>
          <w:szCs w:val="22"/>
        </w:rPr>
      </w:pPr>
      <w:r w:rsidRPr="0091422A">
        <w:rPr>
          <w:rFonts w:ascii="Tahoma" w:hAnsi="Tahoma" w:cs="Tahoma"/>
          <w:sz w:val="22"/>
          <w:szCs w:val="22"/>
        </w:rPr>
        <w:t>Viškovi lijekova u svakodnevnom ljekarničkom poslovanju najvećim dijelom pojavljuju se u Odjelu centralne pripreme citostatika, a radi individualne terapije za svakog pacijenta (prosječno cca 350-500 terapija dnevno), pri čemu se vodi računa o maksimalnoj iskoristivosti sastavnica (lijekova od kojih se izrađuje navedena terapija). Proizvođači u Sažetku opisa svojstava navode da li u originalnom pakiranju postoji količina lijeka koja se odnosi na dodatni volumen odnosno višak lijeka na koji Odjel centralne pripreme citostatika maksimalno pazi, objedinjuje ga i koristi za nove terapije. Radi se o velikom obrtaju lijekova s visokim cijenama.</w:t>
      </w:r>
    </w:p>
    <w:p w:rsidR="007D464E" w:rsidRPr="00CE0EC7" w:rsidRDefault="007D464E" w:rsidP="007D464E">
      <w:pPr>
        <w:jc w:val="both"/>
        <w:rPr>
          <w:rFonts w:ascii="Tahoma" w:hAnsi="Tahoma" w:cs="Tahoma"/>
          <w:sz w:val="22"/>
          <w:szCs w:val="22"/>
          <w:highlight w:val="lightGray"/>
        </w:rPr>
      </w:pPr>
    </w:p>
    <w:tbl>
      <w:tblPr>
        <w:tblStyle w:val="TableGrid"/>
        <w:tblW w:w="0" w:type="auto"/>
        <w:tblLook w:val="04A0" w:firstRow="1" w:lastRow="0" w:firstColumn="1" w:lastColumn="0" w:noHBand="0" w:noVBand="1"/>
      </w:tblPr>
      <w:tblGrid>
        <w:gridCol w:w="2552"/>
        <w:gridCol w:w="1838"/>
        <w:gridCol w:w="1984"/>
        <w:gridCol w:w="2552"/>
      </w:tblGrid>
      <w:tr w:rsidR="007D464E" w:rsidRPr="00CE0EC7" w:rsidTr="007A1C80">
        <w:trPr>
          <w:trHeight w:val="609"/>
        </w:trPr>
        <w:tc>
          <w:tcPr>
            <w:tcW w:w="2552" w:type="dxa"/>
            <w:vMerge w:val="restart"/>
            <w:vAlign w:val="center"/>
          </w:tcPr>
          <w:p w:rsidR="007D464E" w:rsidRPr="0091422A" w:rsidRDefault="007D464E" w:rsidP="007A1C80">
            <w:pPr>
              <w:ind w:right="-41"/>
              <w:jc w:val="center"/>
              <w:rPr>
                <w:rFonts w:ascii="Tahoma" w:hAnsi="Tahoma" w:cs="Tahoma"/>
                <w:b/>
                <w:sz w:val="20"/>
                <w:szCs w:val="20"/>
              </w:rPr>
            </w:pPr>
            <w:r w:rsidRPr="0091422A">
              <w:rPr>
                <w:rFonts w:ascii="Tahoma" w:hAnsi="Tahoma" w:cs="Tahoma"/>
                <w:b/>
                <w:sz w:val="20"/>
                <w:szCs w:val="20"/>
              </w:rPr>
              <w:t>Ostali prihodi</w:t>
            </w:r>
          </w:p>
        </w:tc>
        <w:tc>
          <w:tcPr>
            <w:tcW w:w="1838" w:type="dxa"/>
            <w:vAlign w:val="center"/>
          </w:tcPr>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Izvršenje</w:t>
            </w:r>
          </w:p>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2023</w:t>
            </w:r>
          </w:p>
        </w:tc>
        <w:tc>
          <w:tcPr>
            <w:tcW w:w="1984" w:type="dxa"/>
            <w:vAlign w:val="center"/>
          </w:tcPr>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Izvršenje</w:t>
            </w:r>
          </w:p>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2024</w:t>
            </w:r>
          </w:p>
        </w:tc>
        <w:tc>
          <w:tcPr>
            <w:tcW w:w="2552" w:type="dxa"/>
            <w:vAlign w:val="center"/>
          </w:tcPr>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Indeks</w:t>
            </w:r>
          </w:p>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2024/2023</w:t>
            </w:r>
          </w:p>
        </w:tc>
      </w:tr>
      <w:tr w:rsidR="007D464E" w:rsidRPr="00CE0EC7" w:rsidTr="007A1C80">
        <w:trPr>
          <w:trHeight w:val="447"/>
        </w:trPr>
        <w:tc>
          <w:tcPr>
            <w:tcW w:w="2552" w:type="dxa"/>
            <w:vMerge/>
          </w:tcPr>
          <w:p w:rsidR="007D464E" w:rsidRPr="0091422A" w:rsidRDefault="007D464E" w:rsidP="007A1C80">
            <w:pPr>
              <w:jc w:val="both"/>
              <w:rPr>
                <w:rFonts w:ascii="Tahoma" w:hAnsi="Tahoma" w:cs="Tahoma"/>
                <w:b/>
                <w:sz w:val="22"/>
                <w:szCs w:val="22"/>
              </w:rPr>
            </w:pPr>
          </w:p>
        </w:tc>
        <w:tc>
          <w:tcPr>
            <w:tcW w:w="1838" w:type="dxa"/>
            <w:vAlign w:val="center"/>
          </w:tcPr>
          <w:p w:rsidR="007D464E" w:rsidRPr="0091422A" w:rsidRDefault="007D464E" w:rsidP="007A1C80">
            <w:pPr>
              <w:jc w:val="right"/>
              <w:rPr>
                <w:rFonts w:ascii="Tahoma" w:hAnsi="Tahoma" w:cs="Tahoma"/>
                <w:b/>
                <w:sz w:val="22"/>
                <w:szCs w:val="22"/>
              </w:rPr>
            </w:pPr>
            <w:r w:rsidRPr="0091422A">
              <w:rPr>
                <w:rFonts w:ascii="Tahoma" w:hAnsi="Tahoma" w:cs="Tahoma"/>
                <w:b/>
                <w:sz w:val="22"/>
                <w:szCs w:val="22"/>
              </w:rPr>
              <w:t>2.689.057</w:t>
            </w:r>
          </w:p>
        </w:tc>
        <w:tc>
          <w:tcPr>
            <w:tcW w:w="1984" w:type="dxa"/>
            <w:vAlign w:val="center"/>
          </w:tcPr>
          <w:p w:rsidR="007D464E" w:rsidRPr="0091422A" w:rsidRDefault="007D464E" w:rsidP="007A1C80">
            <w:pPr>
              <w:jc w:val="right"/>
              <w:rPr>
                <w:rFonts w:ascii="Tahoma" w:hAnsi="Tahoma" w:cs="Tahoma"/>
                <w:b/>
                <w:sz w:val="22"/>
                <w:szCs w:val="22"/>
              </w:rPr>
            </w:pPr>
            <w:r w:rsidRPr="0091422A">
              <w:rPr>
                <w:rFonts w:ascii="Tahoma" w:hAnsi="Tahoma" w:cs="Tahoma"/>
                <w:b/>
                <w:sz w:val="22"/>
                <w:szCs w:val="22"/>
              </w:rPr>
              <w:t>3.901.683</w:t>
            </w:r>
          </w:p>
        </w:tc>
        <w:tc>
          <w:tcPr>
            <w:tcW w:w="2552" w:type="dxa"/>
            <w:vAlign w:val="center"/>
          </w:tcPr>
          <w:p w:rsidR="007D464E" w:rsidRPr="0091422A" w:rsidRDefault="007D464E" w:rsidP="007A1C80">
            <w:pPr>
              <w:jc w:val="right"/>
              <w:rPr>
                <w:rFonts w:ascii="Tahoma" w:hAnsi="Tahoma" w:cs="Tahoma"/>
                <w:b/>
                <w:sz w:val="22"/>
                <w:szCs w:val="22"/>
              </w:rPr>
            </w:pPr>
            <w:r w:rsidRPr="0091422A">
              <w:rPr>
                <w:rFonts w:ascii="Tahoma" w:hAnsi="Tahoma" w:cs="Tahoma"/>
                <w:b/>
                <w:sz w:val="22"/>
                <w:szCs w:val="22"/>
              </w:rPr>
              <w:t>1,45</w:t>
            </w:r>
          </w:p>
        </w:tc>
      </w:tr>
    </w:tbl>
    <w:p w:rsidR="00276167" w:rsidRDefault="00276167" w:rsidP="00276167">
      <w:pPr>
        <w:jc w:val="both"/>
        <w:rPr>
          <w:rFonts w:ascii="Tahoma" w:hAnsi="Tahoma" w:cs="Tahoma"/>
          <w:b/>
          <w:sz w:val="22"/>
          <w:szCs w:val="22"/>
          <w:u w:val="single"/>
        </w:rPr>
      </w:pPr>
    </w:p>
    <w:p w:rsidR="00276167" w:rsidRPr="00276167" w:rsidRDefault="00276167" w:rsidP="00276167">
      <w:pPr>
        <w:jc w:val="both"/>
        <w:rPr>
          <w:rFonts w:ascii="Tahoma" w:hAnsi="Tahoma" w:cs="Tahoma"/>
          <w:b/>
          <w:sz w:val="22"/>
          <w:szCs w:val="22"/>
          <w:u w:val="single"/>
        </w:rPr>
      </w:pPr>
    </w:p>
    <w:p w:rsidR="007D464E" w:rsidRPr="0091422A" w:rsidRDefault="007D464E" w:rsidP="007D464E">
      <w:pPr>
        <w:pStyle w:val="ListParagraph"/>
        <w:numPr>
          <w:ilvl w:val="1"/>
          <w:numId w:val="1"/>
        </w:numPr>
        <w:ind w:left="1134" w:hanging="1080"/>
        <w:jc w:val="both"/>
        <w:rPr>
          <w:rFonts w:ascii="Tahoma" w:hAnsi="Tahoma" w:cs="Tahoma"/>
          <w:b/>
          <w:sz w:val="22"/>
          <w:szCs w:val="22"/>
          <w:u w:val="single"/>
        </w:rPr>
      </w:pPr>
      <w:r w:rsidRPr="0091422A">
        <w:rPr>
          <w:rFonts w:ascii="Tahoma" w:hAnsi="Tahoma" w:cs="Tahoma"/>
          <w:b/>
          <w:sz w:val="22"/>
          <w:szCs w:val="22"/>
        </w:rPr>
        <w:lastRenderedPageBreak/>
        <w:t>PRIMICI OD FINANCIJSKE IMOVINE I ZADUŽIVANJA</w:t>
      </w:r>
    </w:p>
    <w:p w:rsidR="007D464E" w:rsidRPr="0091422A" w:rsidRDefault="007D464E" w:rsidP="007D464E">
      <w:pPr>
        <w:pStyle w:val="ListParagraph"/>
        <w:ind w:left="1080"/>
        <w:jc w:val="both"/>
        <w:rPr>
          <w:rFonts w:ascii="Tahoma" w:hAnsi="Tahoma" w:cs="Tahoma"/>
          <w:b/>
          <w:sz w:val="22"/>
          <w:szCs w:val="22"/>
          <w:u w:val="single"/>
        </w:rPr>
      </w:pPr>
    </w:p>
    <w:p w:rsidR="007D464E" w:rsidRPr="0091422A" w:rsidRDefault="007D464E" w:rsidP="007D464E">
      <w:pPr>
        <w:jc w:val="both"/>
        <w:rPr>
          <w:rFonts w:ascii="Tahoma" w:hAnsi="Tahoma" w:cs="Tahoma"/>
          <w:sz w:val="22"/>
          <w:szCs w:val="22"/>
        </w:rPr>
      </w:pPr>
      <w:r w:rsidRPr="0091422A">
        <w:rPr>
          <w:rFonts w:ascii="Tahoma" w:hAnsi="Tahoma" w:cs="Tahoma"/>
          <w:b/>
          <w:sz w:val="22"/>
          <w:szCs w:val="22"/>
          <w:u w:val="single"/>
        </w:rPr>
        <w:t xml:space="preserve">Primici od financijske imovine i zaduživanja (Šifra 8) </w:t>
      </w:r>
      <w:r w:rsidRPr="0091422A">
        <w:rPr>
          <w:rFonts w:ascii="Tahoma" w:hAnsi="Tahoma" w:cs="Tahoma"/>
          <w:sz w:val="22"/>
          <w:szCs w:val="22"/>
        </w:rPr>
        <w:t xml:space="preserve">u razdoblju </w:t>
      </w:r>
      <w:r w:rsidR="0091422A" w:rsidRPr="003D0F7A">
        <w:rPr>
          <w:rFonts w:ascii="Tahoma" w:hAnsi="Tahoma" w:cs="Tahoma"/>
          <w:sz w:val="22"/>
          <w:szCs w:val="22"/>
        </w:rPr>
        <w:t>od 1. siječnja do 31. prosinca 2024. godine</w:t>
      </w:r>
      <w:r w:rsidRPr="0091422A">
        <w:rPr>
          <w:rFonts w:ascii="Tahoma" w:hAnsi="Tahoma" w:cs="Tahoma"/>
          <w:sz w:val="22"/>
          <w:szCs w:val="22"/>
        </w:rPr>
        <w:t xml:space="preserve"> iznose 3.986.917 EUR. Smanjenje primitaka od financijske imovine i zaduživanja u razdoblju </w:t>
      </w:r>
      <w:r w:rsidR="0091422A" w:rsidRPr="003D0F7A">
        <w:rPr>
          <w:rFonts w:ascii="Tahoma" w:hAnsi="Tahoma" w:cs="Tahoma"/>
          <w:sz w:val="22"/>
          <w:szCs w:val="22"/>
        </w:rPr>
        <w:t>od 1. siječnja do 31. prosinca 2024. godine</w:t>
      </w:r>
      <w:r w:rsidRPr="0091422A">
        <w:rPr>
          <w:rFonts w:ascii="Tahoma" w:hAnsi="Tahoma" w:cs="Tahoma"/>
          <w:sz w:val="22"/>
          <w:szCs w:val="22"/>
        </w:rPr>
        <w:t xml:space="preserve"> u odnosu na isto razdoblje prethodne godine iznosi 40,4%, a rezultat je manje primljenih zajmova od tuzemnih trgovačkih društava izvan javnog sektora – za nabavu nefinancijske imovine putem robnog zajma.</w:t>
      </w:r>
    </w:p>
    <w:p w:rsidR="007D464E" w:rsidRPr="0091422A" w:rsidRDefault="007D464E" w:rsidP="007D464E">
      <w:pPr>
        <w:jc w:val="both"/>
        <w:rPr>
          <w:rFonts w:ascii="Tahoma" w:hAnsi="Tahoma" w:cs="Tahoma"/>
          <w:sz w:val="22"/>
          <w:szCs w:val="22"/>
        </w:rPr>
      </w:pPr>
      <w:r w:rsidRPr="0091422A">
        <w:rPr>
          <w:rFonts w:ascii="Tahoma" w:hAnsi="Tahoma" w:cs="Tahoma"/>
          <w:sz w:val="22"/>
          <w:szCs w:val="22"/>
        </w:rPr>
        <w:t xml:space="preserve">Najznačajnije nabave izvršene putem robnog zajma odnose se </w:t>
      </w:r>
      <w:r w:rsidR="00D646B8">
        <w:rPr>
          <w:rFonts w:ascii="Tahoma" w:hAnsi="Tahoma" w:cs="Tahoma"/>
          <w:sz w:val="22"/>
          <w:szCs w:val="22"/>
        </w:rPr>
        <w:t>na nabavu endoskopskih stupova</w:t>
      </w:r>
      <w:r w:rsidRPr="0091422A">
        <w:rPr>
          <w:rFonts w:ascii="Tahoma" w:hAnsi="Tahoma" w:cs="Tahoma"/>
          <w:sz w:val="22"/>
          <w:szCs w:val="22"/>
        </w:rPr>
        <w:t xml:space="preserve">, MR uređaja za potrebe Odjela </w:t>
      </w:r>
      <w:r w:rsidR="00D646B8">
        <w:rPr>
          <w:rFonts w:ascii="Tahoma" w:hAnsi="Tahoma" w:cs="Tahoma"/>
          <w:sz w:val="22"/>
          <w:szCs w:val="22"/>
        </w:rPr>
        <w:t xml:space="preserve">za </w:t>
      </w:r>
      <w:proofErr w:type="spellStart"/>
      <w:r w:rsidR="00D646B8">
        <w:rPr>
          <w:rFonts w:ascii="Tahoma" w:hAnsi="Tahoma" w:cs="Tahoma"/>
          <w:sz w:val="22"/>
          <w:szCs w:val="22"/>
        </w:rPr>
        <w:t>muskuloskeletnu</w:t>
      </w:r>
      <w:proofErr w:type="spellEnd"/>
      <w:r w:rsidR="00D646B8">
        <w:rPr>
          <w:rFonts w:ascii="Tahoma" w:hAnsi="Tahoma" w:cs="Tahoma"/>
          <w:sz w:val="22"/>
          <w:szCs w:val="22"/>
        </w:rPr>
        <w:t xml:space="preserve"> radiologiju, </w:t>
      </w:r>
      <w:r w:rsidRPr="0091422A">
        <w:rPr>
          <w:rFonts w:ascii="Tahoma" w:hAnsi="Tahoma" w:cs="Tahoma"/>
          <w:sz w:val="22"/>
          <w:szCs w:val="22"/>
        </w:rPr>
        <w:t>UZV uređaja za potrebe Klinike za neurologiju i Klin</w:t>
      </w:r>
      <w:r w:rsidR="00D646B8">
        <w:rPr>
          <w:rFonts w:ascii="Tahoma" w:hAnsi="Tahoma" w:cs="Tahoma"/>
          <w:sz w:val="22"/>
          <w:szCs w:val="22"/>
        </w:rPr>
        <w:t>ike za ženske bolesti i porode</w:t>
      </w:r>
      <w:r w:rsidRPr="0091422A">
        <w:rPr>
          <w:rFonts w:ascii="Tahoma" w:hAnsi="Tahoma" w:cs="Tahoma"/>
          <w:sz w:val="22"/>
          <w:szCs w:val="22"/>
        </w:rPr>
        <w:t xml:space="preserve"> te digitalnog RTG uređaja za potrebe Objedin</w:t>
      </w:r>
      <w:r w:rsidR="00D646B8">
        <w:rPr>
          <w:rFonts w:ascii="Tahoma" w:hAnsi="Tahoma" w:cs="Tahoma"/>
          <w:sz w:val="22"/>
          <w:szCs w:val="22"/>
        </w:rPr>
        <w:t>jenog hitnog bolničkog prijama</w:t>
      </w:r>
      <w:r w:rsidRPr="0091422A">
        <w:rPr>
          <w:rFonts w:ascii="Tahoma" w:hAnsi="Tahoma" w:cs="Tahoma"/>
          <w:sz w:val="22"/>
          <w:szCs w:val="22"/>
        </w:rPr>
        <w:t>.</w:t>
      </w:r>
    </w:p>
    <w:p w:rsidR="007D464E" w:rsidRPr="0091422A" w:rsidRDefault="007D464E" w:rsidP="007D464E">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984"/>
        <w:gridCol w:w="1701"/>
        <w:gridCol w:w="2547"/>
      </w:tblGrid>
      <w:tr w:rsidR="007D464E" w:rsidRPr="0091422A" w:rsidTr="007A1C80">
        <w:trPr>
          <w:trHeight w:val="609"/>
        </w:trPr>
        <w:tc>
          <w:tcPr>
            <w:tcW w:w="2552" w:type="dxa"/>
            <w:vMerge w:val="restart"/>
            <w:vAlign w:val="center"/>
          </w:tcPr>
          <w:p w:rsidR="007D464E" w:rsidRPr="0091422A" w:rsidRDefault="007D464E" w:rsidP="007A1C80">
            <w:pPr>
              <w:ind w:right="-41"/>
              <w:jc w:val="center"/>
              <w:rPr>
                <w:rFonts w:ascii="Tahoma" w:hAnsi="Tahoma" w:cs="Tahoma"/>
                <w:b/>
                <w:sz w:val="20"/>
                <w:szCs w:val="20"/>
              </w:rPr>
            </w:pPr>
            <w:r w:rsidRPr="0091422A">
              <w:rPr>
                <w:rFonts w:ascii="Tahoma" w:hAnsi="Tahoma" w:cs="Tahoma"/>
                <w:b/>
                <w:sz w:val="20"/>
                <w:szCs w:val="20"/>
              </w:rPr>
              <w:t>Primici od financijske imovine i zaduživanja</w:t>
            </w:r>
          </w:p>
        </w:tc>
        <w:tc>
          <w:tcPr>
            <w:tcW w:w="1984" w:type="dxa"/>
            <w:vAlign w:val="center"/>
          </w:tcPr>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 xml:space="preserve">Izvršenje </w:t>
            </w:r>
          </w:p>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2023</w:t>
            </w:r>
          </w:p>
        </w:tc>
        <w:tc>
          <w:tcPr>
            <w:tcW w:w="1701" w:type="dxa"/>
            <w:vAlign w:val="center"/>
          </w:tcPr>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Izvršenje</w:t>
            </w:r>
          </w:p>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2024</w:t>
            </w:r>
          </w:p>
        </w:tc>
        <w:tc>
          <w:tcPr>
            <w:tcW w:w="2547" w:type="dxa"/>
            <w:vAlign w:val="center"/>
          </w:tcPr>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Indeks</w:t>
            </w:r>
          </w:p>
          <w:p w:rsidR="007D464E" w:rsidRPr="0091422A" w:rsidRDefault="007D464E" w:rsidP="007A1C80">
            <w:pPr>
              <w:jc w:val="center"/>
              <w:rPr>
                <w:rFonts w:ascii="Tahoma" w:hAnsi="Tahoma" w:cs="Tahoma"/>
                <w:b/>
                <w:sz w:val="22"/>
                <w:szCs w:val="22"/>
              </w:rPr>
            </w:pPr>
            <w:r w:rsidRPr="0091422A">
              <w:rPr>
                <w:rFonts w:ascii="Tahoma" w:hAnsi="Tahoma" w:cs="Tahoma"/>
                <w:b/>
                <w:sz w:val="22"/>
                <w:szCs w:val="22"/>
              </w:rPr>
              <w:t>2024/2023</w:t>
            </w:r>
          </w:p>
        </w:tc>
      </w:tr>
      <w:tr w:rsidR="007D464E" w:rsidRPr="001C0992" w:rsidTr="007A1C80">
        <w:trPr>
          <w:trHeight w:val="447"/>
        </w:trPr>
        <w:tc>
          <w:tcPr>
            <w:tcW w:w="2552" w:type="dxa"/>
            <w:vMerge/>
          </w:tcPr>
          <w:p w:rsidR="007D464E" w:rsidRPr="0091422A" w:rsidRDefault="007D464E" w:rsidP="007A1C80">
            <w:pPr>
              <w:jc w:val="both"/>
              <w:rPr>
                <w:rFonts w:ascii="Tahoma" w:hAnsi="Tahoma" w:cs="Tahoma"/>
                <w:b/>
                <w:sz w:val="22"/>
                <w:szCs w:val="22"/>
              </w:rPr>
            </w:pPr>
          </w:p>
        </w:tc>
        <w:tc>
          <w:tcPr>
            <w:tcW w:w="1984" w:type="dxa"/>
            <w:vAlign w:val="center"/>
          </w:tcPr>
          <w:p w:rsidR="007D464E" w:rsidRPr="0091422A" w:rsidRDefault="007D464E" w:rsidP="007A1C80">
            <w:pPr>
              <w:jc w:val="right"/>
              <w:rPr>
                <w:rFonts w:ascii="Tahoma" w:hAnsi="Tahoma" w:cs="Tahoma"/>
                <w:b/>
                <w:sz w:val="22"/>
                <w:szCs w:val="22"/>
              </w:rPr>
            </w:pPr>
            <w:r w:rsidRPr="0091422A">
              <w:rPr>
                <w:rFonts w:ascii="Tahoma" w:hAnsi="Tahoma" w:cs="Tahoma"/>
                <w:b/>
                <w:sz w:val="22"/>
                <w:szCs w:val="22"/>
              </w:rPr>
              <w:t>6.687.996</w:t>
            </w:r>
          </w:p>
        </w:tc>
        <w:tc>
          <w:tcPr>
            <w:tcW w:w="1701" w:type="dxa"/>
            <w:vAlign w:val="center"/>
          </w:tcPr>
          <w:p w:rsidR="007D464E" w:rsidRPr="0091422A" w:rsidRDefault="007D464E" w:rsidP="007A1C80">
            <w:pPr>
              <w:jc w:val="right"/>
              <w:rPr>
                <w:rFonts w:ascii="Tahoma" w:hAnsi="Tahoma" w:cs="Tahoma"/>
                <w:b/>
                <w:sz w:val="22"/>
                <w:szCs w:val="22"/>
              </w:rPr>
            </w:pPr>
            <w:r w:rsidRPr="0091422A">
              <w:rPr>
                <w:rFonts w:ascii="Tahoma" w:hAnsi="Tahoma" w:cs="Tahoma"/>
                <w:b/>
                <w:sz w:val="22"/>
                <w:szCs w:val="22"/>
              </w:rPr>
              <w:t>3.986.917</w:t>
            </w:r>
          </w:p>
        </w:tc>
        <w:tc>
          <w:tcPr>
            <w:tcW w:w="2547" w:type="dxa"/>
            <w:vAlign w:val="center"/>
          </w:tcPr>
          <w:p w:rsidR="007D464E" w:rsidRPr="002A66DF" w:rsidRDefault="007D464E" w:rsidP="007A1C80">
            <w:pPr>
              <w:jc w:val="right"/>
              <w:rPr>
                <w:rFonts w:ascii="Tahoma" w:hAnsi="Tahoma" w:cs="Tahoma"/>
                <w:b/>
                <w:sz w:val="22"/>
                <w:szCs w:val="22"/>
              </w:rPr>
            </w:pPr>
            <w:r w:rsidRPr="0091422A">
              <w:rPr>
                <w:rFonts w:ascii="Tahoma" w:hAnsi="Tahoma" w:cs="Tahoma"/>
                <w:b/>
                <w:sz w:val="22"/>
                <w:szCs w:val="22"/>
              </w:rPr>
              <w:t>0,60</w:t>
            </w:r>
          </w:p>
        </w:tc>
      </w:tr>
    </w:tbl>
    <w:p w:rsidR="00890AD3" w:rsidRPr="003E608D" w:rsidRDefault="00890AD3" w:rsidP="00C172A2">
      <w:pPr>
        <w:jc w:val="both"/>
        <w:rPr>
          <w:rFonts w:ascii="Tahoma" w:hAnsi="Tahoma" w:cs="Tahoma"/>
          <w:sz w:val="22"/>
          <w:szCs w:val="22"/>
        </w:rPr>
      </w:pPr>
    </w:p>
    <w:p w:rsidR="006527B7" w:rsidRDefault="006527B7" w:rsidP="001621B4">
      <w:pPr>
        <w:jc w:val="both"/>
        <w:rPr>
          <w:rFonts w:ascii="Tahoma" w:hAnsi="Tahoma" w:cs="Tahoma"/>
          <w:sz w:val="22"/>
          <w:szCs w:val="22"/>
        </w:rPr>
      </w:pPr>
    </w:p>
    <w:p w:rsidR="001621B4" w:rsidRPr="00C55AAB" w:rsidRDefault="001621B4" w:rsidP="00C55AAB">
      <w:pPr>
        <w:pStyle w:val="ListParagraph"/>
        <w:numPr>
          <w:ilvl w:val="0"/>
          <w:numId w:val="1"/>
        </w:numPr>
        <w:ind w:left="426" w:hanging="426"/>
        <w:jc w:val="both"/>
        <w:rPr>
          <w:rFonts w:ascii="Tahoma" w:hAnsi="Tahoma" w:cs="Tahoma"/>
          <w:b/>
          <w:sz w:val="22"/>
          <w:szCs w:val="22"/>
        </w:rPr>
      </w:pPr>
      <w:r w:rsidRPr="00C55AAB">
        <w:rPr>
          <w:rFonts w:ascii="Tahoma" w:hAnsi="Tahoma" w:cs="Tahoma"/>
          <w:b/>
          <w:sz w:val="22"/>
          <w:szCs w:val="22"/>
        </w:rPr>
        <w:t>RASHODI</w:t>
      </w:r>
    </w:p>
    <w:p w:rsidR="001621B4" w:rsidRPr="00C55AAB" w:rsidRDefault="001621B4" w:rsidP="00C55AAB">
      <w:pPr>
        <w:pStyle w:val="ListParagraph"/>
        <w:numPr>
          <w:ilvl w:val="1"/>
          <w:numId w:val="17"/>
        </w:numPr>
        <w:ind w:left="426" w:hanging="426"/>
        <w:jc w:val="both"/>
        <w:rPr>
          <w:rFonts w:ascii="Tahoma" w:hAnsi="Tahoma" w:cs="Tahoma"/>
          <w:b/>
          <w:sz w:val="22"/>
          <w:szCs w:val="22"/>
        </w:rPr>
      </w:pPr>
      <w:r w:rsidRPr="00C55AAB">
        <w:rPr>
          <w:rFonts w:ascii="Tahoma" w:hAnsi="Tahoma" w:cs="Tahoma"/>
          <w:b/>
          <w:sz w:val="22"/>
          <w:szCs w:val="22"/>
        </w:rPr>
        <w:tab/>
        <w:t>RASHODI ZA ZAPOSLENE</w:t>
      </w:r>
    </w:p>
    <w:p w:rsidR="001621B4" w:rsidRPr="00DA4956" w:rsidRDefault="001621B4" w:rsidP="001621B4">
      <w:pPr>
        <w:jc w:val="both"/>
        <w:rPr>
          <w:rFonts w:ascii="Tahoma" w:hAnsi="Tahoma" w:cs="Tahoma"/>
          <w:sz w:val="22"/>
          <w:szCs w:val="22"/>
        </w:rPr>
      </w:pPr>
    </w:p>
    <w:p w:rsidR="003877E3" w:rsidRPr="002A66DF" w:rsidRDefault="003877E3" w:rsidP="003877E3">
      <w:pPr>
        <w:jc w:val="both"/>
        <w:rPr>
          <w:rFonts w:ascii="Tahoma" w:hAnsi="Tahoma" w:cs="Tahoma"/>
          <w:sz w:val="22"/>
          <w:szCs w:val="22"/>
        </w:rPr>
      </w:pPr>
      <w:r w:rsidRPr="002A66DF">
        <w:rPr>
          <w:rFonts w:ascii="Tahoma" w:hAnsi="Tahoma" w:cs="Tahoma"/>
          <w:sz w:val="22"/>
          <w:szCs w:val="22"/>
        </w:rPr>
        <w:t xml:space="preserve">U </w:t>
      </w:r>
      <w:r w:rsidR="005E0EF9" w:rsidRPr="00CB1476">
        <w:rPr>
          <w:rFonts w:ascii="Tahoma" w:hAnsi="Tahoma" w:cs="Tahoma"/>
          <w:sz w:val="22"/>
          <w:szCs w:val="22"/>
        </w:rPr>
        <w:t>razdoblju od 1. siječnja do 31. prosinca 2024. godine</w:t>
      </w:r>
      <w:r w:rsidRPr="00CB1476">
        <w:rPr>
          <w:rFonts w:ascii="Tahoma" w:hAnsi="Tahoma" w:cs="Tahoma"/>
          <w:sz w:val="22"/>
          <w:szCs w:val="22"/>
        </w:rPr>
        <w:t xml:space="preserve"> </w:t>
      </w:r>
      <w:r w:rsidRPr="00CB1476">
        <w:rPr>
          <w:rFonts w:ascii="Tahoma" w:hAnsi="Tahoma" w:cs="Tahoma"/>
          <w:sz w:val="22"/>
          <w:szCs w:val="22"/>
          <w:u w:val="single"/>
        </w:rPr>
        <w:t>rashodi za zaposlene (</w:t>
      </w:r>
      <w:r w:rsidR="00A2494F" w:rsidRPr="00CB1476">
        <w:rPr>
          <w:rFonts w:ascii="Tahoma" w:hAnsi="Tahoma" w:cs="Tahoma"/>
          <w:b/>
          <w:sz w:val="22"/>
          <w:szCs w:val="22"/>
          <w:u w:val="single"/>
        </w:rPr>
        <w:t>Š</w:t>
      </w:r>
      <w:r w:rsidRPr="00CB1476">
        <w:rPr>
          <w:rFonts w:ascii="Tahoma" w:hAnsi="Tahoma" w:cs="Tahoma"/>
          <w:b/>
          <w:sz w:val="22"/>
          <w:szCs w:val="22"/>
          <w:u w:val="single"/>
        </w:rPr>
        <w:t>ifra 31</w:t>
      </w:r>
      <w:r w:rsidRPr="00CB1476">
        <w:rPr>
          <w:rFonts w:ascii="Tahoma" w:hAnsi="Tahoma" w:cs="Tahoma"/>
          <w:sz w:val="22"/>
          <w:szCs w:val="22"/>
          <w:u w:val="single"/>
        </w:rPr>
        <w:t>)</w:t>
      </w:r>
      <w:r w:rsidRPr="00CB1476">
        <w:rPr>
          <w:rFonts w:ascii="Tahoma" w:hAnsi="Tahoma" w:cs="Tahoma"/>
          <w:sz w:val="22"/>
          <w:szCs w:val="22"/>
        </w:rPr>
        <w:t xml:space="preserve"> ostvareni su u iznosu od </w:t>
      </w:r>
      <w:r w:rsidR="00AF05AE" w:rsidRPr="00CB1476">
        <w:rPr>
          <w:rFonts w:ascii="Tahoma" w:hAnsi="Tahoma" w:cs="Tahoma"/>
          <w:sz w:val="22"/>
          <w:szCs w:val="22"/>
        </w:rPr>
        <w:t>228.191.656</w:t>
      </w:r>
      <w:r w:rsidR="00EA2E0B" w:rsidRPr="00CB1476">
        <w:rPr>
          <w:rFonts w:ascii="Tahoma" w:hAnsi="Tahoma" w:cs="Tahoma"/>
          <w:sz w:val="22"/>
          <w:szCs w:val="22"/>
        </w:rPr>
        <w:t xml:space="preserve"> EUR</w:t>
      </w:r>
      <w:r w:rsidR="00AF05AE" w:rsidRPr="00CB1476">
        <w:rPr>
          <w:rFonts w:ascii="Tahoma" w:hAnsi="Tahoma" w:cs="Tahoma"/>
          <w:sz w:val="22"/>
          <w:szCs w:val="22"/>
        </w:rPr>
        <w:t xml:space="preserve"> što je za 27</w:t>
      </w:r>
      <w:r w:rsidR="00B66B3A" w:rsidRPr="00CB1476">
        <w:rPr>
          <w:rFonts w:ascii="Tahoma" w:hAnsi="Tahoma" w:cs="Tahoma"/>
          <w:sz w:val="22"/>
          <w:szCs w:val="22"/>
        </w:rPr>
        <w:t>,3</w:t>
      </w:r>
      <w:r w:rsidRPr="00CB1476">
        <w:rPr>
          <w:rFonts w:ascii="Tahoma" w:hAnsi="Tahoma" w:cs="Tahoma"/>
          <w:sz w:val="22"/>
          <w:szCs w:val="22"/>
        </w:rPr>
        <w:t>% više</w:t>
      </w:r>
      <w:r w:rsidR="00AF05AE" w:rsidRPr="00CB1476">
        <w:rPr>
          <w:rFonts w:ascii="Tahoma" w:hAnsi="Tahoma" w:cs="Tahoma"/>
          <w:sz w:val="22"/>
          <w:szCs w:val="22"/>
        </w:rPr>
        <w:t xml:space="preserve"> u odnosu na isto razdoblje prethodne</w:t>
      </w:r>
      <w:r w:rsidRPr="00CB1476">
        <w:rPr>
          <w:rFonts w:ascii="Tahoma" w:hAnsi="Tahoma" w:cs="Tahoma"/>
          <w:sz w:val="22"/>
          <w:szCs w:val="22"/>
        </w:rPr>
        <w:t xml:space="preserve"> godine.</w:t>
      </w:r>
    </w:p>
    <w:p w:rsidR="003877E3" w:rsidRPr="002A66DF" w:rsidRDefault="003877E3" w:rsidP="003877E3">
      <w:pPr>
        <w:jc w:val="both"/>
        <w:rPr>
          <w:rFonts w:ascii="Tahoma" w:hAnsi="Tahoma" w:cs="Tahoma"/>
          <w:sz w:val="22"/>
          <w:szCs w:val="22"/>
        </w:rPr>
      </w:pPr>
    </w:p>
    <w:tbl>
      <w:tblPr>
        <w:tblStyle w:val="TableGrid"/>
        <w:tblW w:w="0" w:type="auto"/>
        <w:tblInd w:w="-5" w:type="dxa"/>
        <w:tblLook w:val="04A0" w:firstRow="1" w:lastRow="0" w:firstColumn="1" w:lastColumn="0" w:noHBand="0" w:noVBand="1"/>
      </w:tblPr>
      <w:tblGrid>
        <w:gridCol w:w="2665"/>
        <w:gridCol w:w="2155"/>
        <w:gridCol w:w="1984"/>
        <w:gridCol w:w="2410"/>
      </w:tblGrid>
      <w:tr w:rsidR="003877E3" w:rsidRPr="00CB1476" w:rsidTr="00222CA9">
        <w:trPr>
          <w:trHeight w:val="609"/>
        </w:trPr>
        <w:tc>
          <w:tcPr>
            <w:tcW w:w="2665" w:type="dxa"/>
            <w:vMerge w:val="restart"/>
            <w:vAlign w:val="center"/>
          </w:tcPr>
          <w:p w:rsidR="003877E3" w:rsidRPr="00CB1476" w:rsidRDefault="003877E3" w:rsidP="00D66EA0">
            <w:pPr>
              <w:ind w:right="-41" w:hanging="83"/>
              <w:jc w:val="center"/>
              <w:rPr>
                <w:rFonts w:ascii="Tahoma" w:hAnsi="Tahoma" w:cs="Tahoma"/>
                <w:b/>
                <w:sz w:val="22"/>
                <w:szCs w:val="22"/>
              </w:rPr>
            </w:pPr>
            <w:r w:rsidRPr="00CB1476">
              <w:rPr>
                <w:rFonts w:ascii="Tahoma" w:hAnsi="Tahoma" w:cs="Tahoma"/>
                <w:b/>
                <w:sz w:val="22"/>
                <w:szCs w:val="22"/>
              </w:rPr>
              <w:t>Rashodi za zaposlene</w:t>
            </w:r>
          </w:p>
        </w:tc>
        <w:tc>
          <w:tcPr>
            <w:tcW w:w="2155" w:type="dxa"/>
            <w:vAlign w:val="center"/>
          </w:tcPr>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Izvršenje</w:t>
            </w:r>
          </w:p>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202</w:t>
            </w:r>
            <w:r w:rsidR="005E0EF9" w:rsidRPr="00CB1476">
              <w:rPr>
                <w:rFonts w:ascii="Tahoma" w:hAnsi="Tahoma" w:cs="Tahoma"/>
                <w:b/>
                <w:sz w:val="22"/>
                <w:szCs w:val="22"/>
              </w:rPr>
              <w:t>3</w:t>
            </w:r>
          </w:p>
        </w:tc>
        <w:tc>
          <w:tcPr>
            <w:tcW w:w="1984" w:type="dxa"/>
            <w:vAlign w:val="center"/>
          </w:tcPr>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 xml:space="preserve">Izvršenje    </w:t>
            </w:r>
          </w:p>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202</w:t>
            </w:r>
            <w:r w:rsidR="005E0EF9" w:rsidRPr="00CB1476">
              <w:rPr>
                <w:rFonts w:ascii="Tahoma" w:hAnsi="Tahoma" w:cs="Tahoma"/>
                <w:b/>
                <w:sz w:val="22"/>
                <w:szCs w:val="22"/>
              </w:rPr>
              <w:t>4</w:t>
            </w:r>
          </w:p>
        </w:tc>
        <w:tc>
          <w:tcPr>
            <w:tcW w:w="2410" w:type="dxa"/>
            <w:vAlign w:val="center"/>
          </w:tcPr>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Indeks</w:t>
            </w:r>
          </w:p>
          <w:p w:rsidR="003877E3" w:rsidRPr="00CB1476" w:rsidRDefault="005E0EF9" w:rsidP="00222CA9">
            <w:pPr>
              <w:jc w:val="center"/>
              <w:rPr>
                <w:rFonts w:ascii="Tahoma" w:hAnsi="Tahoma" w:cs="Tahoma"/>
                <w:b/>
                <w:sz w:val="22"/>
                <w:szCs w:val="22"/>
              </w:rPr>
            </w:pPr>
            <w:r w:rsidRPr="00CB1476">
              <w:rPr>
                <w:rFonts w:ascii="Tahoma" w:hAnsi="Tahoma" w:cs="Tahoma"/>
                <w:b/>
                <w:sz w:val="22"/>
                <w:szCs w:val="22"/>
              </w:rPr>
              <w:t>2024</w:t>
            </w:r>
            <w:r w:rsidR="00D66EA0" w:rsidRPr="00CB1476">
              <w:rPr>
                <w:rFonts w:ascii="Tahoma" w:hAnsi="Tahoma" w:cs="Tahoma"/>
                <w:b/>
                <w:sz w:val="22"/>
                <w:szCs w:val="22"/>
              </w:rPr>
              <w:t>/202</w:t>
            </w:r>
            <w:r w:rsidRPr="00CB1476">
              <w:rPr>
                <w:rFonts w:ascii="Tahoma" w:hAnsi="Tahoma" w:cs="Tahoma"/>
                <w:b/>
                <w:sz w:val="22"/>
                <w:szCs w:val="22"/>
              </w:rPr>
              <w:t>3</w:t>
            </w:r>
          </w:p>
        </w:tc>
      </w:tr>
      <w:tr w:rsidR="003877E3" w:rsidRPr="00CB1476" w:rsidTr="00222CA9">
        <w:trPr>
          <w:trHeight w:val="447"/>
        </w:trPr>
        <w:tc>
          <w:tcPr>
            <w:tcW w:w="2665" w:type="dxa"/>
            <w:vMerge/>
          </w:tcPr>
          <w:p w:rsidR="003877E3" w:rsidRPr="00CB1476" w:rsidRDefault="003877E3" w:rsidP="00222CA9">
            <w:pPr>
              <w:jc w:val="both"/>
              <w:rPr>
                <w:rFonts w:ascii="Tahoma" w:hAnsi="Tahoma" w:cs="Tahoma"/>
                <w:b/>
                <w:sz w:val="22"/>
                <w:szCs w:val="22"/>
              </w:rPr>
            </w:pPr>
          </w:p>
        </w:tc>
        <w:tc>
          <w:tcPr>
            <w:tcW w:w="2155" w:type="dxa"/>
            <w:vAlign w:val="center"/>
          </w:tcPr>
          <w:p w:rsidR="003877E3" w:rsidRPr="00CB1476" w:rsidRDefault="0021015B" w:rsidP="00222CA9">
            <w:pPr>
              <w:jc w:val="right"/>
              <w:rPr>
                <w:rFonts w:ascii="Tahoma" w:hAnsi="Tahoma" w:cs="Tahoma"/>
                <w:b/>
                <w:sz w:val="22"/>
                <w:szCs w:val="22"/>
              </w:rPr>
            </w:pPr>
            <w:r w:rsidRPr="00CB1476">
              <w:rPr>
                <w:rFonts w:ascii="Tahoma" w:hAnsi="Tahoma" w:cs="Tahoma"/>
                <w:b/>
                <w:sz w:val="22"/>
                <w:szCs w:val="22"/>
              </w:rPr>
              <w:t>179.236.642</w:t>
            </w:r>
          </w:p>
        </w:tc>
        <w:tc>
          <w:tcPr>
            <w:tcW w:w="1984" w:type="dxa"/>
            <w:vAlign w:val="center"/>
          </w:tcPr>
          <w:p w:rsidR="003877E3" w:rsidRPr="00CB1476" w:rsidRDefault="00AF05AE" w:rsidP="00222CA9">
            <w:pPr>
              <w:jc w:val="right"/>
              <w:rPr>
                <w:rFonts w:ascii="Tahoma" w:hAnsi="Tahoma" w:cs="Tahoma"/>
                <w:b/>
                <w:sz w:val="22"/>
                <w:szCs w:val="22"/>
              </w:rPr>
            </w:pPr>
            <w:r w:rsidRPr="00CB1476">
              <w:rPr>
                <w:rFonts w:ascii="Tahoma" w:hAnsi="Tahoma" w:cs="Tahoma"/>
                <w:b/>
                <w:sz w:val="22"/>
                <w:szCs w:val="22"/>
              </w:rPr>
              <w:t>228.191.656</w:t>
            </w:r>
          </w:p>
        </w:tc>
        <w:tc>
          <w:tcPr>
            <w:tcW w:w="2410" w:type="dxa"/>
            <w:vAlign w:val="center"/>
          </w:tcPr>
          <w:p w:rsidR="003877E3" w:rsidRPr="00CB1476" w:rsidRDefault="00AF05AE" w:rsidP="00222CA9">
            <w:pPr>
              <w:jc w:val="right"/>
              <w:rPr>
                <w:rFonts w:ascii="Tahoma" w:hAnsi="Tahoma" w:cs="Tahoma"/>
                <w:b/>
                <w:sz w:val="22"/>
                <w:szCs w:val="22"/>
              </w:rPr>
            </w:pPr>
            <w:r w:rsidRPr="00CB1476">
              <w:rPr>
                <w:rFonts w:ascii="Tahoma" w:hAnsi="Tahoma" w:cs="Tahoma"/>
                <w:b/>
                <w:sz w:val="22"/>
                <w:szCs w:val="22"/>
              </w:rPr>
              <w:t>1,27</w:t>
            </w:r>
          </w:p>
        </w:tc>
      </w:tr>
    </w:tbl>
    <w:p w:rsidR="003877E3" w:rsidRPr="00CB1476" w:rsidRDefault="003877E3" w:rsidP="003877E3">
      <w:pPr>
        <w:jc w:val="both"/>
        <w:rPr>
          <w:rFonts w:ascii="Tahoma" w:hAnsi="Tahoma" w:cs="Tahoma"/>
          <w:sz w:val="22"/>
          <w:szCs w:val="22"/>
        </w:rPr>
      </w:pPr>
    </w:p>
    <w:p w:rsidR="00BE74CD" w:rsidRPr="00942800" w:rsidRDefault="00BE74CD" w:rsidP="00BE74CD">
      <w:pPr>
        <w:jc w:val="both"/>
        <w:rPr>
          <w:rFonts w:ascii="Tahoma" w:hAnsi="Tahoma" w:cs="Tahoma"/>
          <w:sz w:val="22"/>
          <w:szCs w:val="22"/>
        </w:rPr>
      </w:pPr>
      <w:bookmarkStart w:id="1" w:name="_Hlk107391354"/>
      <w:r w:rsidRPr="00CB1476">
        <w:rPr>
          <w:rFonts w:ascii="Tahoma" w:hAnsi="Tahoma" w:cs="Tahoma"/>
          <w:sz w:val="22"/>
          <w:szCs w:val="22"/>
        </w:rPr>
        <w:t xml:space="preserve">Povećanje rashoda za zaposlene uzrokovano je </w:t>
      </w:r>
      <w:bookmarkEnd w:id="1"/>
      <w:r w:rsidRPr="00CB1476">
        <w:rPr>
          <w:rFonts w:ascii="Tahoma" w:hAnsi="Tahoma" w:cs="Tahoma"/>
          <w:sz w:val="22"/>
          <w:szCs w:val="22"/>
        </w:rPr>
        <w:t>stupanjem na snagu Uredbe o nazivima radnih mjesta, uvjetima za raspored i koeficijentima za obračun plaće u javnim službama (NN 22/2024) u ožujku 2024.</w:t>
      </w:r>
    </w:p>
    <w:p w:rsidR="006211CB" w:rsidRPr="002A66DF" w:rsidRDefault="006211CB" w:rsidP="003877E3">
      <w:pPr>
        <w:jc w:val="both"/>
        <w:rPr>
          <w:rFonts w:ascii="Tahoma" w:hAnsi="Tahoma" w:cs="Tahoma"/>
          <w:sz w:val="22"/>
          <w:szCs w:val="22"/>
        </w:rPr>
      </w:pPr>
    </w:p>
    <w:p w:rsidR="003877E3" w:rsidRPr="002A66DF" w:rsidRDefault="00C55AAB" w:rsidP="00C55AAB">
      <w:pPr>
        <w:pStyle w:val="ListParagraph"/>
        <w:numPr>
          <w:ilvl w:val="1"/>
          <w:numId w:val="17"/>
        </w:numPr>
        <w:tabs>
          <w:tab w:val="left" w:pos="709"/>
        </w:tabs>
        <w:ind w:hanging="1080"/>
        <w:jc w:val="both"/>
        <w:rPr>
          <w:rFonts w:ascii="Tahoma" w:hAnsi="Tahoma" w:cs="Tahoma"/>
          <w:b/>
          <w:sz w:val="22"/>
          <w:szCs w:val="22"/>
        </w:rPr>
      </w:pPr>
      <w:r w:rsidRPr="002A66DF">
        <w:rPr>
          <w:rFonts w:ascii="Tahoma" w:hAnsi="Tahoma" w:cs="Tahoma"/>
          <w:b/>
          <w:sz w:val="22"/>
          <w:szCs w:val="22"/>
        </w:rPr>
        <w:t xml:space="preserve"> </w:t>
      </w:r>
      <w:r w:rsidR="003877E3" w:rsidRPr="002A66DF">
        <w:rPr>
          <w:rFonts w:ascii="Tahoma" w:hAnsi="Tahoma" w:cs="Tahoma"/>
          <w:b/>
          <w:sz w:val="22"/>
          <w:szCs w:val="22"/>
        </w:rPr>
        <w:t>MATERIJALNI RASHODI</w:t>
      </w:r>
    </w:p>
    <w:p w:rsidR="003877E3" w:rsidRPr="002A66DF" w:rsidRDefault="003877E3" w:rsidP="003877E3">
      <w:pPr>
        <w:jc w:val="both"/>
        <w:rPr>
          <w:rFonts w:ascii="Tahoma" w:hAnsi="Tahoma" w:cs="Tahoma"/>
          <w:b/>
          <w:sz w:val="22"/>
          <w:szCs w:val="22"/>
        </w:rPr>
      </w:pPr>
    </w:p>
    <w:p w:rsidR="003877E3" w:rsidRPr="004078C0" w:rsidRDefault="003877E3" w:rsidP="003877E3">
      <w:pPr>
        <w:jc w:val="both"/>
        <w:rPr>
          <w:rFonts w:ascii="Tahoma" w:hAnsi="Tahoma" w:cs="Tahoma"/>
          <w:sz w:val="22"/>
          <w:szCs w:val="22"/>
        </w:rPr>
      </w:pPr>
      <w:r w:rsidRPr="002A66DF">
        <w:rPr>
          <w:rFonts w:ascii="Tahoma" w:hAnsi="Tahoma" w:cs="Tahoma"/>
          <w:b/>
          <w:sz w:val="22"/>
          <w:szCs w:val="22"/>
          <w:u w:val="single"/>
        </w:rPr>
        <w:t>Materijalni rashodi (</w:t>
      </w:r>
      <w:r w:rsidR="004078C0" w:rsidRPr="002A66DF">
        <w:rPr>
          <w:rFonts w:ascii="Tahoma" w:hAnsi="Tahoma" w:cs="Tahoma"/>
          <w:b/>
          <w:sz w:val="22"/>
          <w:szCs w:val="22"/>
          <w:u w:val="single"/>
        </w:rPr>
        <w:t>Š</w:t>
      </w:r>
      <w:r w:rsidRPr="002A66DF">
        <w:rPr>
          <w:rFonts w:ascii="Tahoma" w:hAnsi="Tahoma" w:cs="Tahoma"/>
          <w:b/>
          <w:sz w:val="22"/>
          <w:szCs w:val="22"/>
          <w:u w:val="single"/>
        </w:rPr>
        <w:t>ifra 32)</w:t>
      </w:r>
      <w:r w:rsidRPr="002A66DF">
        <w:rPr>
          <w:rFonts w:ascii="Tahoma" w:hAnsi="Tahoma" w:cs="Tahoma"/>
          <w:sz w:val="22"/>
          <w:szCs w:val="22"/>
        </w:rPr>
        <w:t xml:space="preserve"> prema proračunskom računovodstvu u </w:t>
      </w:r>
      <w:r w:rsidR="0080568B" w:rsidRPr="00CB1476">
        <w:rPr>
          <w:rFonts w:ascii="Tahoma" w:hAnsi="Tahoma" w:cs="Tahoma"/>
          <w:sz w:val="22"/>
          <w:szCs w:val="22"/>
        </w:rPr>
        <w:t xml:space="preserve">razdoblju </w:t>
      </w:r>
      <w:r w:rsidR="005874AC" w:rsidRPr="00CB1476">
        <w:rPr>
          <w:rFonts w:ascii="Tahoma" w:hAnsi="Tahoma" w:cs="Tahoma"/>
          <w:sz w:val="22"/>
          <w:szCs w:val="22"/>
        </w:rPr>
        <w:t>od 1. siječnja do 31. prosinca 2024. godine</w:t>
      </w:r>
      <w:r w:rsidRPr="00CB1476">
        <w:rPr>
          <w:rFonts w:ascii="Tahoma" w:hAnsi="Tahoma" w:cs="Tahoma"/>
          <w:sz w:val="22"/>
          <w:szCs w:val="22"/>
        </w:rPr>
        <w:t xml:space="preserve"> ostvareni su u iznosu od </w:t>
      </w:r>
      <w:r w:rsidR="005874AC" w:rsidRPr="00CB1476">
        <w:rPr>
          <w:rFonts w:ascii="Tahoma" w:hAnsi="Tahoma" w:cs="Tahoma"/>
          <w:sz w:val="22"/>
          <w:szCs w:val="22"/>
        </w:rPr>
        <w:t>395.703.787</w:t>
      </w:r>
      <w:r w:rsidR="00F31EA8" w:rsidRPr="00CB1476">
        <w:rPr>
          <w:rFonts w:ascii="Tahoma" w:hAnsi="Tahoma" w:cs="Tahoma"/>
          <w:sz w:val="22"/>
          <w:szCs w:val="22"/>
        </w:rPr>
        <w:t xml:space="preserve"> EUR </w:t>
      </w:r>
      <w:r w:rsidR="005874AC" w:rsidRPr="00CB1476">
        <w:rPr>
          <w:rFonts w:ascii="Tahoma" w:hAnsi="Tahoma" w:cs="Tahoma"/>
          <w:sz w:val="22"/>
          <w:szCs w:val="22"/>
        </w:rPr>
        <w:t>što je za 10,7</w:t>
      </w:r>
      <w:r w:rsidRPr="00CB1476">
        <w:rPr>
          <w:rFonts w:ascii="Tahoma" w:hAnsi="Tahoma" w:cs="Tahoma"/>
          <w:sz w:val="22"/>
          <w:szCs w:val="22"/>
        </w:rPr>
        <w:t>% više u odnosu na isto razdoblje prethodne godine.</w:t>
      </w:r>
    </w:p>
    <w:p w:rsidR="003877E3" w:rsidRPr="004078C0" w:rsidRDefault="003877E3" w:rsidP="003877E3">
      <w:pPr>
        <w:jc w:val="both"/>
        <w:rPr>
          <w:rFonts w:ascii="Tahoma" w:hAnsi="Tahoma" w:cs="Tahoma"/>
          <w:sz w:val="22"/>
          <w:szCs w:val="22"/>
        </w:rPr>
      </w:pPr>
    </w:p>
    <w:tbl>
      <w:tblPr>
        <w:tblStyle w:val="TableGrid"/>
        <w:tblW w:w="9639" w:type="dxa"/>
        <w:tblInd w:w="-5" w:type="dxa"/>
        <w:tblLook w:val="04A0" w:firstRow="1" w:lastRow="0" w:firstColumn="1" w:lastColumn="0" w:noHBand="0" w:noVBand="1"/>
      </w:tblPr>
      <w:tblGrid>
        <w:gridCol w:w="2552"/>
        <w:gridCol w:w="2268"/>
        <w:gridCol w:w="2268"/>
        <w:gridCol w:w="2551"/>
      </w:tblGrid>
      <w:tr w:rsidR="003877E3" w:rsidRPr="00CB1476" w:rsidTr="00222CA9">
        <w:trPr>
          <w:trHeight w:val="609"/>
        </w:trPr>
        <w:tc>
          <w:tcPr>
            <w:tcW w:w="2552" w:type="dxa"/>
            <w:vMerge w:val="restart"/>
            <w:vAlign w:val="center"/>
          </w:tcPr>
          <w:p w:rsidR="003877E3" w:rsidRPr="00CB1476" w:rsidRDefault="003877E3" w:rsidP="0080568B">
            <w:pPr>
              <w:ind w:right="-41"/>
              <w:jc w:val="center"/>
              <w:rPr>
                <w:rFonts w:ascii="Tahoma" w:hAnsi="Tahoma" w:cs="Tahoma"/>
                <w:b/>
                <w:sz w:val="22"/>
                <w:szCs w:val="22"/>
              </w:rPr>
            </w:pPr>
            <w:r w:rsidRPr="00CB1476">
              <w:rPr>
                <w:rFonts w:ascii="Tahoma" w:hAnsi="Tahoma" w:cs="Tahoma"/>
                <w:b/>
                <w:sz w:val="22"/>
                <w:szCs w:val="22"/>
              </w:rPr>
              <w:t>Materijalni rashodi</w:t>
            </w:r>
          </w:p>
        </w:tc>
        <w:tc>
          <w:tcPr>
            <w:tcW w:w="2268" w:type="dxa"/>
            <w:vAlign w:val="center"/>
          </w:tcPr>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Izvršenje</w:t>
            </w:r>
          </w:p>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 xml:space="preserve"> 202</w:t>
            </w:r>
            <w:r w:rsidR="005874AC" w:rsidRPr="00CB1476">
              <w:rPr>
                <w:rFonts w:ascii="Tahoma" w:hAnsi="Tahoma" w:cs="Tahoma"/>
                <w:b/>
                <w:sz w:val="22"/>
                <w:szCs w:val="22"/>
              </w:rPr>
              <w:t>3</w:t>
            </w:r>
          </w:p>
        </w:tc>
        <w:tc>
          <w:tcPr>
            <w:tcW w:w="2268" w:type="dxa"/>
            <w:vAlign w:val="center"/>
          </w:tcPr>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 xml:space="preserve">Izvršenje </w:t>
            </w:r>
          </w:p>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202</w:t>
            </w:r>
            <w:r w:rsidR="005874AC" w:rsidRPr="00CB1476">
              <w:rPr>
                <w:rFonts w:ascii="Tahoma" w:hAnsi="Tahoma" w:cs="Tahoma"/>
                <w:b/>
                <w:sz w:val="22"/>
                <w:szCs w:val="22"/>
              </w:rPr>
              <w:t>4</w:t>
            </w:r>
          </w:p>
        </w:tc>
        <w:tc>
          <w:tcPr>
            <w:tcW w:w="2551" w:type="dxa"/>
            <w:vAlign w:val="center"/>
          </w:tcPr>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Indeks</w:t>
            </w:r>
          </w:p>
          <w:p w:rsidR="003877E3" w:rsidRPr="00CB1476" w:rsidRDefault="005874AC" w:rsidP="00222CA9">
            <w:pPr>
              <w:jc w:val="center"/>
              <w:rPr>
                <w:rFonts w:ascii="Tahoma" w:hAnsi="Tahoma" w:cs="Tahoma"/>
                <w:b/>
                <w:sz w:val="22"/>
                <w:szCs w:val="22"/>
              </w:rPr>
            </w:pPr>
            <w:r w:rsidRPr="00CB1476">
              <w:rPr>
                <w:rFonts w:ascii="Tahoma" w:hAnsi="Tahoma" w:cs="Tahoma"/>
                <w:b/>
                <w:sz w:val="22"/>
                <w:szCs w:val="22"/>
              </w:rPr>
              <w:t>2024</w:t>
            </w:r>
            <w:r w:rsidR="0080568B" w:rsidRPr="00CB1476">
              <w:rPr>
                <w:rFonts w:ascii="Tahoma" w:hAnsi="Tahoma" w:cs="Tahoma"/>
                <w:b/>
                <w:sz w:val="22"/>
                <w:szCs w:val="22"/>
              </w:rPr>
              <w:t>/202</w:t>
            </w:r>
            <w:r w:rsidRPr="00CB1476">
              <w:rPr>
                <w:rFonts w:ascii="Tahoma" w:hAnsi="Tahoma" w:cs="Tahoma"/>
                <w:b/>
                <w:sz w:val="22"/>
                <w:szCs w:val="22"/>
              </w:rPr>
              <w:t>3</w:t>
            </w:r>
          </w:p>
        </w:tc>
      </w:tr>
      <w:tr w:rsidR="003877E3" w:rsidRPr="00CB1476" w:rsidTr="00222CA9">
        <w:trPr>
          <w:trHeight w:val="447"/>
        </w:trPr>
        <w:tc>
          <w:tcPr>
            <w:tcW w:w="2552" w:type="dxa"/>
            <w:vMerge/>
          </w:tcPr>
          <w:p w:rsidR="003877E3" w:rsidRPr="00CB1476" w:rsidRDefault="003877E3" w:rsidP="00222CA9">
            <w:pPr>
              <w:jc w:val="both"/>
              <w:rPr>
                <w:rFonts w:ascii="Tahoma" w:hAnsi="Tahoma" w:cs="Tahoma"/>
                <w:b/>
                <w:sz w:val="22"/>
                <w:szCs w:val="22"/>
              </w:rPr>
            </w:pPr>
          </w:p>
        </w:tc>
        <w:tc>
          <w:tcPr>
            <w:tcW w:w="2268" w:type="dxa"/>
            <w:vAlign w:val="center"/>
          </w:tcPr>
          <w:p w:rsidR="003877E3" w:rsidRPr="00CB1476" w:rsidRDefault="005874AC" w:rsidP="00222CA9">
            <w:pPr>
              <w:jc w:val="right"/>
              <w:rPr>
                <w:rFonts w:ascii="Tahoma" w:hAnsi="Tahoma" w:cs="Tahoma"/>
                <w:b/>
                <w:sz w:val="22"/>
                <w:szCs w:val="22"/>
              </w:rPr>
            </w:pPr>
            <w:r w:rsidRPr="00CB1476">
              <w:rPr>
                <w:rFonts w:ascii="Tahoma" w:hAnsi="Tahoma" w:cs="Tahoma"/>
                <w:b/>
                <w:sz w:val="22"/>
                <w:szCs w:val="22"/>
              </w:rPr>
              <w:t>357.404.969</w:t>
            </w:r>
          </w:p>
        </w:tc>
        <w:tc>
          <w:tcPr>
            <w:tcW w:w="2268" w:type="dxa"/>
            <w:vAlign w:val="center"/>
          </w:tcPr>
          <w:p w:rsidR="003877E3" w:rsidRPr="00CB1476" w:rsidRDefault="005874AC" w:rsidP="00222CA9">
            <w:pPr>
              <w:jc w:val="right"/>
              <w:rPr>
                <w:rFonts w:ascii="Tahoma" w:hAnsi="Tahoma" w:cs="Tahoma"/>
                <w:b/>
                <w:sz w:val="22"/>
                <w:szCs w:val="22"/>
              </w:rPr>
            </w:pPr>
            <w:r w:rsidRPr="00CB1476">
              <w:rPr>
                <w:rFonts w:ascii="Tahoma" w:hAnsi="Tahoma" w:cs="Tahoma"/>
                <w:b/>
                <w:sz w:val="22"/>
                <w:szCs w:val="22"/>
              </w:rPr>
              <w:t>395.703.787</w:t>
            </w:r>
          </w:p>
        </w:tc>
        <w:tc>
          <w:tcPr>
            <w:tcW w:w="2551" w:type="dxa"/>
            <w:vAlign w:val="center"/>
          </w:tcPr>
          <w:p w:rsidR="003877E3" w:rsidRPr="00CB1476" w:rsidRDefault="005874AC" w:rsidP="00222CA9">
            <w:pPr>
              <w:jc w:val="right"/>
              <w:rPr>
                <w:rFonts w:ascii="Tahoma" w:hAnsi="Tahoma" w:cs="Tahoma"/>
                <w:b/>
                <w:sz w:val="22"/>
                <w:szCs w:val="22"/>
              </w:rPr>
            </w:pPr>
            <w:r w:rsidRPr="00CB1476">
              <w:rPr>
                <w:rFonts w:ascii="Tahoma" w:hAnsi="Tahoma" w:cs="Tahoma"/>
                <w:b/>
                <w:sz w:val="22"/>
                <w:szCs w:val="22"/>
              </w:rPr>
              <w:t>1,11</w:t>
            </w:r>
          </w:p>
        </w:tc>
      </w:tr>
    </w:tbl>
    <w:p w:rsidR="003877E3" w:rsidRPr="00CB1476" w:rsidRDefault="003877E3" w:rsidP="003877E3">
      <w:pPr>
        <w:jc w:val="both"/>
        <w:rPr>
          <w:rFonts w:ascii="Tahoma" w:hAnsi="Tahoma" w:cs="Tahoma"/>
          <w:sz w:val="22"/>
          <w:szCs w:val="22"/>
        </w:rPr>
      </w:pPr>
    </w:p>
    <w:p w:rsidR="003877E3" w:rsidRPr="002A66DF" w:rsidRDefault="003877E3" w:rsidP="003877E3">
      <w:pPr>
        <w:jc w:val="both"/>
        <w:rPr>
          <w:rFonts w:ascii="Tahoma" w:hAnsi="Tahoma" w:cs="Tahoma"/>
          <w:sz w:val="22"/>
          <w:szCs w:val="22"/>
        </w:rPr>
      </w:pPr>
      <w:r w:rsidRPr="00CB1476">
        <w:rPr>
          <w:rFonts w:ascii="Tahoma" w:hAnsi="Tahoma" w:cs="Tahoma"/>
          <w:sz w:val="22"/>
          <w:szCs w:val="22"/>
        </w:rPr>
        <w:t xml:space="preserve">Najveći udio u materijalnim rashodima odnosi se na potrošnju lijekova, medicinskog potrošnog materijala te krvi </w:t>
      </w:r>
      <w:r w:rsidR="005874AC" w:rsidRPr="00CB1476">
        <w:rPr>
          <w:rFonts w:ascii="Tahoma" w:hAnsi="Tahoma" w:cs="Tahoma"/>
          <w:sz w:val="22"/>
          <w:szCs w:val="22"/>
        </w:rPr>
        <w:t>i krvnih pripravaka (89,7</w:t>
      </w:r>
      <w:r w:rsidRPr="00CB1476">
        <w:rPr>
          <w:rFonts w:ascii="Tahoma" w:hAnsi="Tahoma" w:cs="Tahoma"/>
          <w:sz w:val="22"/>
          <w:szCs w:val="22"/>
        </w:rPr>
        <w:t>%).</w:t>
      </w:r>
    </w:p>
    <w:p w:rsidR="003877E3" w:rsidRPr="002A66DF" w:rsidRDefault="003877E3" w:rsidP="003877E3">
      <w:pPr>
        <w:jc w:val="both"/>
        <w:rPr>
          <w:rFonts w:ascii="Tahoma" w:hAnsi="Tahoma" w:cs="Tahoma"/>
          <w:sz w:val="22"/>
          <w:szCs w:val="22"/>
        </w:rPr>
      </w:pPr>
    </w:p>
    <w:tbl>
      <w:tblPr>
        <w:tblStyle w:val="TableGrid"/>
        <w:tblW w:w="9639" w:type="dxa"/>
        <w:tblInd w:w="-5" w:type="dxa"/>
        <w:tblLook w:val="04A0" w:firstRow="1" w:lastRow="0" w:firstColumn="1" w:lastColumn="0" w:noHBand="0" w:noVBand="1"/>
      </w:tblPr>
      <w:tblGrid>
        <w:gridCol w:w="2552"/>
        <w:gridCol w:w="2268"/>
        <w:gridCol w:w="2268"/>
        <w:gridCol w:w="2551"/>
      </w:tblGrid>
      <w:tr w:rsidR="003877E3" w:rsidRPr="00CB1476" w:rsidTr="00222CA9">
        <w:trPr>
          <w:trHeight w:val="609"/>
        </w:trPr>
        <w:tc>
          <w:tcPr>
            <w:tcW w:w="2552" w:type="dxa"/>
            <w:vMerge w:val="restart"/>
            <w:vAlign w:val="center"/>
          </w:tcPr>
          <w:p w:rsidR="003877E3" w:rsidRPr="00CB1476" w:rsidRDefault="003877E3" w:rsidP="00997DCA">
            <w:pPr>
              <w:ind w:right="-41"/>
              <w:jc w:val="center"/>
              <w:rPr>
                <w:rFonts w:ascii="Tahoma" w:hAnsi="Tahoma" w:cs="Tahoma"/>
                <w:b/>
                <w:sz w:val="20"/>
                <w:szCs w:val="20"/>
              </w:rPr>
            </w:pPr>
            <w:r w:rsidRPr="00CB1476">
              <w:rPr>
                <w:rFonts w:ascii="Tahoma" w:hAnsi="Tahoma" w:cs="Tahoma"/>
                <w:b/>
                <w:sz w:val="20"/>
                <w:szCs w:val="20"/>
              </w:rPr>
              <w:t>Rashodi za lijekove, medicinski potrošni materijal i krv i krvne pripravke</w:t>
            </w:r>
          </w:p>
        </w:tc>
        <w:tc>
          <w:tcPr>
            <w:tcW w:w="2268" w:type="dxa"/>
            <w:vAlign w:val="center"/>
          </w:tcPr>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Izvršenje</w:t>
            </w:r>
          </w:p>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202</w:t>
            </w:r>
            <w:r w:rsidR="005874AC" w:rsidRPr="00CB1476">
              <w:rPr>
                <w:rFonts w:ascii="Tahoma" w:hAnsi="Tahoma" w:cs="Tahoma"/>
                <w:b/>
                <w:sz w:val="22"/>
                <w:szCs w:val="22"/>
              </w:rPr>
              <w:t>3</w:t>
            </w:r>
          </w:p>
        </w:tc>
        <w:tc>
          <w:tcPr>
            <w:tcW w:w="2268" w:type="dxa"/>
            <w:vAlign w:val="center"/>
          </w:tcPr>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Izvršenje</w:t>
            </w:r>
          </w:p>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202</w:t>
            </w:r>
            <w:r w:rsidR="005874AC" w:rsidRPr="00CB1476">
              <w:rPr>
                <w:rFonts w:ascii="Tahoma" w:hAnsi="Tahoma" w:cs="Tahoma"/>
                <w:b/>
                <w:sz w:val="22"/>
                <w:szCs w:val="22"/>
              </w:rPr>
              <w:t>4</w:t>
            </w:r>
          </w:p>
        </w:tc>
        <w:tc>
          <w:tcPr>
            <w:tcW w:w="2551" w:type="dxa"/>
            <w:vAlign w:val="center"/>
          </w:tcPr>
          <w:p w:rsidR="003877E3" w:rsidRPr="00CB1476" w:rsidRDefault="003877E3" w:rsidP="00222CA9">
            <w:pPr>
              <w:jc w:val="center"/>
              <w:rPr>
                <w:rFonts w:ascii="Tahoma" w:hAnsi="Tahoma" w:cs="Tahoma"/>
                <w:b/>
                <w:sz w:val="22"/>
                <w:szCs w:val="22"/>
              </w:rPr>
            </w:pPr>
            <w:r w:rsidRPr="00CB1476">
              <w:rPr>
                <w:rFonts w:ascii="Tahoma" w:hAnsi="Tahoma" w:cs="Tahoma"/>
                <w:b/>
                <w:sz w:val="22"/>
                <w:szCs w:val="22"/>
              </w:rPr>
              <w:t>Indeks</w:t>
            </w:r>
          </w:p>
          <w:p w:rsidR="003877E3" w:rsidRPr="00CB1476" w:rsidRDefault="005874AC" w:rsidP="00222CA9">
            <w:pPr>
              <w:jc w:val="center"/>
              <w:rPr>
                <w:rFonts w:ascii="Tahoma" w:hAnsi="Tahoma" w:cs="Tahoma"/>
                <w:b/>
                <w:sz w:val="22"/>
                <w:szCs w:val="22"/>
              </w:rPr>
            </w:pPr>
            <w:r w:rsidRPr="00CB1476">
              <w:rPr>
                <w:rFonts w:ascii="Tahoma" w:hAnsi="Tahoma" w:cs="Tahoma"/>
                <w:b/>
                <w:sz w:val="22"/>
                <w:szCs w:val="22"/>
              </w:rPr>
              <w:t>2024</w:t>
            </w:r>
            <w:r w:rsidR="003877E3" w:rsidRPr="00CB1476">
              <w:rPr>
                <w:rFonts w:ascii="Tahoma" w:hAnsi="Tahoma" w:cs="Tahoma"/>
                <w:b/>
                <w:sz w:val="22"/>
                <w:szCs w:val="22"/>
              </w:rPr>
              <w:t>/202</w:t>
            </w:r>
            <w:r w:rsidRPr="00CB1476">
              <w:rPr>
                <w:rFonts w:ascii="Tahoma" w:hAnsi="Tahoma" w:cs="Tahoma"/>
                <w:b/>
                <w:sz w:val="22"/>
                <w:szCs w:val="22"/>
              </w:rPr>
              <w:t>3</w:t>
            </w:r>
          </w:p>
        </w:tc>
      </w:tr>
      <w:tr w:rsidR="003877E3" w:rsidRPr="00CB1476" w:rsidTr="00222CA9">
        <w:trPr>
          <w:trHeight w:val="447"/>
        </w:trPr>
        <w:tc>
          <w:tcPr>
            <w:tcW w:w="2552" w:type="dxa"/>
            <w:vMerge/>
          </w:tcPr>
          <w:p w:rsidR="003877E3" w:rsidRPr="00CB1476" w:rsidRDefault="003877E3" w:rsidP="00222CA9">
            <w:pPr>
              <w:jc w:val="both"/>
              <w:rPr>
                <w:rFonts w:ascii="Tahoma" w:hAnsi="Tahoma" w:cs="Tahoma"/>
                <w:b/>
                <w:sz w:val="22"/>
                <w:szCs w:val="22"/>
              </w:rPr>
            </w:pPr>
          </w:p>
        </w:tc>
        <w:tc>
          <w:tcPr>
            <w:tcW w:w="2268" w:type="dxa"/>
            <w:vAlign w:val="center"/>
          </w:tcPr>
          <w:p w:rsidR="003877E3" w:rsidRPr="00CB1476" w:rsidRDefault="005874AC" w:rsidP="00222CA9">
            <w:pPr>
              <w:jc w:val="right"/>
              <w:rPr>
                <w:rFonts w:ascii="Tahoma" w:hAnsi="Tahoma" w:cs="Tahoma"/>
                <w:b/>
                <w:sz w:val="22"/>
                <w:szCs w:val="22"/>
              </w:rPr>
            </w:pPr>
            <w:r w:rsidRPr="00CB1476">
              <w:rPr>
                <w:rFonts w:ascii="Tahoma" w:hAnsi="Tahoma" w:cs="Tahoma"/>
                <w:b/>
                <w:sz w:val="22"/>
                <w:szCs w:val="22"/>
              </w:rPr>
              <w:t>316.065.911</w:t>
            </w:r>
          </w:p>
        </w:tc>
        <w:tc>
          <w:tcPr>
            <w:tcW w:w="2268" w:type="dxa"/>
            <w:vAlign w:val="center"/>
          </w:tcPr>
          <w:p w:rsidR="003877E3" w:rsidRPr="00CB1476" w:rsidRDefault="005874AC" w:rsidP="00222CA9">
            <w:pPr>
              <w:jc w:val="right"/>
              <w:rPr>
                <w:rFonts w:ascii="Tahoma" w:hAnsi="Tahoma" w:cs="Tahoma"/>
                <w:b/>
                <w:sz w:val="22"/>
                <w:szCs w:val="22"/>
              </w:rPr>
            </w:pPr>
            <w:r w:rsidRPr="00CB1476">
              <w:rPr>
                <w:rFonts w:ascii="Tahoma" w:hAnsi="Tahoma" w:cs="Tahoma"/>
                <w:b/>
                <w:sz w:val="22"/>
                <w:szCs w:val="22"/>
              </w:rPr>
              <w:t>350.889.905</w:t>
            </w:r>
          </w:p>
        </w:tc>
        <w:tc>
          <w:tcPr>
            <w:tcW w:w="2551" w:type="dxa"/>
            <w:vAlign w:val="center"/>
          </w:tcPr>
          <w:p w:rsidR="003877E3" w:rsidRPr="00CB1476" w:rsidRDefault="005874AC" w:rsidP="00222CA9">
            <w:pPr>
              <w:jc w:val="right"/>
              <w:rPr>
                <w:rFonts w:ascii="Tahoma" w:hAnsi="Tahoma" w:cs="Tahoma"/>
                <w:b/>
                <w:sz w:val="22"/>
                <w:szCs w:val="22"/>
              </w:rPr>
            </w:pPr>
            <w:r w:rsidRPr="00CB1476">
              <w:rPr>
                <w:rFonts w:ascii="Tahoma" w:hAnsi="Tahoma" w:cs="Tahoma"/>
                <w:b/>
                <w:sz w:val="22"/>
                <w:szCs w:val="22"/>
              </w:rPr>
              <w:t>1,11</w:t>
            </w:r>
          </w:p>
        </w:tc>
      </w:tr>
    </w:tbl>
    <w:p w:rsidR="00383395" w:rsidRPr="00CB1476" w:rsidRDefault="00383395" w:rsidP="003877E3">
      <w:pPr>
        <w:jc w:val="both"/>
        <w:rPr>
          <w:rFonts w:ascii="Tahoma" w:hAnsi="Tahoma" w:cs="Tahoma"/>
          <w:bCs/>
          <w:sz w:val="22"/>
          <w:szCs w:val="22"/>
        </w:rPr>
      </w:pPr>
    </w:p>
    <w:p w:rsidR="005874AC" w:rsidRDefault="005874AC" w:rsidP="003877E3">
      <w:pPr>
        <w:jc w:val="both"/>
        <w:rPr>
          <w:rFonts w:ascii="Tahoma" w:hAnsi="Tahoma" w:cs="Tahoma"/>
          <w:bCs/>
          <w:sz w:val="22"/>
          <w:szCs w:val="22"/>
        </w:rPr>
      </w:pPr>
    </w:p>
    <w:p w:rsidR="00A5246E" w:rsidRPr="00CB1476" w:rsidRDefault="00A5246E" w:rsidP="003877E3">
      <w:pPr>
        <w:jc w:val="both"/>
        <w:rPr>
          <w:rFonts w:ascii="Tahoma" w:hAnsi="Tahoma" w:cs="Tahoma"/>
          <w:bCs/>
          <w:sz w:val="22"/>
          <w:szCs w:val="22"/>
        </w:rPr>
      </w:pPr>
    </w:p>
    <w:p w:rsidR="003877E3" w:rsidRPr="00CB1476" w:rsidRDefault="003877E3" w:rsidP="003877E3">
      <w:pPr>
        <w:pStyle w:val="ListParagraph"/>
        <w:numPr>
          <w:ilvl w:val="2"/>
          <w:numId w:val="14"/>
        </w:numPr>
        <w:ind w:left="709" w:hanging="709"/>
        <w:jc w:val="both"/>
        <w:rPr>
          <w:rFonts w:ascii="Tahoma" w:hAnsi="Tahoma" w:cs="Tahoma"/>
          <w:b/>
          <w:bCs/>
          <w:sz w:val="22"/>
          <w:szCs w:val="22"/>
        </w:rPr>
      </w:pPr>
      <w:r w:rsidRPr="00CB1476">
        <w:rPr>
          <w:rFonts w:ascii="Tahoma" w:hAnsi="Tahoma" w:cs="Tahoma"/>
          <w:b/>
          <w:bCs/>
          <w:sz w:val="22"/>
          <w:szCs w:val="22"/>
        </w:rPr>
        <w:lastRenderedPageBreak/>
        <w:t>Posebno skupi lijekovi izvan limita</w:t>
      </w:r>
    </w:p>
    <w:p w:rsidR="003877E3" w:rsidRPr="00CB1476" w:rsidRDefault="003877E3" w:rsidP="003877E3">
      <w:pPr>
        <w:jc w:val="both"/>
        <w:rPr>
          <w:rFonts w:ascii="Tahoma" w:hAnsi="Tahoma" w:cs="Tahoma"/>
          <w:bCs/>
          <w:sz w:val="22"/>
          <w:szCs w:val="22"/>
        </w:rPr>
      </w:pPr>
    </w:p>
    <w:p w:rsidR="003877E3" w:rsidRDefault="003877E3" w:rsidP="003877E3">
      <w:pPr>
        <w:jc w:val="both"/>
        <w:rPr>
          <w:rFonts w:ascii="Tahoma" w:hAnsi="Tahoma" w:cs="Tahoma"/>
          <w:bCs/>
          <w:sz w:val="22"/>
          <w:szCs w:val="22"/>
        </w:rPr>
      </w:pPr>
      <w:r w:rsidRPr="00CB1476">
        <w:rPr>
          <w:rFonts w:ascii="Tahoma" w:hAnsi="Tahoma" w:cs="Tahoma"/>
          <w:bCs/>
          <w:sz w:val="22"/>
          <w:szCs w:val="22"/>
        </w:rPr>
        <w:t xml:space="preserve">Kod rashoda za lijekove u razdoblju </w:t>
      </w:r>
      <w:r w:rsidR="00E6494B" w:rsidRPr="00CB1476">
        <w:rPr>
          <w:rFonts w:ascii="Tahoma" w:hAnsi="Tahoma" w:cs="Tahoma"/>
          <w:sz w:val="22"/>
          <w:szCs w:val="22"/>
        </w:rPr>
        <w:t>od 1. siječnja do 31. prosinca 2024. godine</w:t>
      </w:r>
      <w:r w:rsidR="00E6494B" w:rsidRPr="00CB1476">
        <w:rPr>
          <w:rFonts w:ascii="Tahoma" w:hAnsi="Tahoma" w:cs="Tahoma"/>
          <w:bCs/>
          <w:sz w:val="22"/>
          <w:szCs w:val="22"/>
        </w:rPr>
        <w:t>, najveći trošak u iznosu od 151.623.555</w:t>
      </w:r>
      <w:r w:rsidR="005D13F2" w:rsidRPr="00CB1476">
        <w:rPr>
          <w:rFonts w:ascii="Tahoma" w:hAnsi="Tahoma" w:cs="Tahoma"/>
          <w:bCs/>
          <w:sz w:val="22"/>
          <w:szCs w:val="22"/>
        </w:rPr>
        <w:t xml:space="preserve"> EUR</w:t>
      </w:r>
      <w:r w:rsidRPr="00CB1476">
        <w:rPr>
          <w:rFonts w:ascii="Tahoma" w:hAnsi="Tahoma" w:cs="Tahoma"/>
          <w:bCs/>
          <w:sz w:val="22"/>
          <w:szCs w:val="22"/>
        </w:rPr>
        <w:t xml:space="preserve"> se odnosi na Posebno skupe lijekove </w:t>
      </w:r>
      <w:r w:rsidR="00EC0D94" w:rsidRPr="00CB1476">
        <w:rPr>
          <w:rFonts w:ascii="Tahoma" w:hAnsi="Tahoma" w:cs="Tahoma"/>
          <w:bCs/>
          <w:sz w:val="22"/>
          <w:szCs w:val="22"/>
        </w:rPr>
        <w:t>„</w:t>
      </w:r>
      <w:r w:rsidRPr="00CB1476">
        <w:rPr>
          <w:rFonts w:ascii="Tahoma" w:hAnsi="Tahoma" w:cs="Tahoma"/>
          <w:bCs/>
          <w:sz w:val="22"/>
          <w:szCs w:val="22"/>
        </w:rPr>
        <w:t>izvan limita“ (</w:t>
      </w:r>
      <w:proofErr w:type="spellStart"/>
      <w:r w:rsidRPr="00CB1476">
        <w:rPr>
          <w:rFonts w:ascii="Tahoma" w:hAnsi="Tahoma" w:cs="Tahoma"/>
          <w:bCs/>
          <w:sz w:val="22"/>
          <w:szCs w:val="22"/>
        </w:rPr>
        <w:t>Keytruda</w:t>
      </w:r>
      <w:proofErr w:type="spellEnd"/>
      <w:r w:rsidRPr="00CB1476">
        <w:rPr>
          <w:rFonts w:ascii="Tahoma" w:hAnsi="Tahoma" w:cs="Tahoma"/>
          <w:bCs/>
          <w:sz w:val="22"/>
          <w:szCs w:val="22"/>
        </w:rPr>
        <w:t xml:space="preserve">, </w:t>
      </w:r>
      <w:proofErr w:type="spellStart"/>
      <w:r w:rsidR="00E9085E" w:rsidRPr="00CB1476">
        <w:rPr>
          <w:rFonts w:ascii="Tahoma" w:hAnsi="Tahoma" w:cs="Tahoma"/>
          <w:bCs/>
          <w:sz w:val="22"/>
          <w:szCs w:val="22"/>
        </w:rPr>
        <w:t>Kaftrio</w:t>
      </w:r>
      <w:proofErr w:type="spellEnd"/>
      <w:r w:rsidR="00E9085E" w:rsidRPr="00CB1476">
        <w:rPr>
          <w:rFonts w:ascii="Tahoma" w:hAnsi="Tahoma" w:cs="Tahoma"/>
          <w:bCs/>
          <w:sz w:val="22"/>
          <w:szCs w:val="22"/>
        </w:rPr>
        <w:t xml:space="preserve">, </w:t>
      </w:r>
      <w:proofErr w:type="spellStart"/>
      <w:r w:rsidRPr="00CB1476">
        <w:rPr>
          <w:rFonts w:ascii="Tahoma" w:hAnsi="Tahoma" w:cs="Tahoma"/>
          <w:bCs/>
          <w:sz w:val="22"/>
          <w:szCs w:val="22"/>
        </w:rPr>
        <w:t>Evrysdi</w:t>
      </w:r>
      <w:proofErr w:type="spellEnd"/>
      <w:r w:rsidRPr="00CB1476">
        <w:rPr>
          <w:rFonts w:ascii="Tahoma" w:hAnsi="Tahoma" w:cs="Tahoma"/>
          <w:bCs/>
          <w:sz w:val="22"/>
          <w:szCs w:val="22"/>
        </w:rPr>
        <w:t xml:space="preserve">, </w:t>
      </w:r>
      <w:proofErr w:type="spellStart"/>
      <w:r w:rsidR="00E9085E" w:rsidRPr="00CB1476">
        <w:rPr>
          <w:rFonts w:ascii="Tahoma" w:hAnsi="Tahoma" w:cs="Tahoma"/>
          <w:bCs/>
          <w:sz w:val="22"/>
          <w:szCs w:val="22"/>
        </w:rPr>
        <w:t>Kalydeco</w:t>
      </w:r>
      <w:proofErr w:type="spellEnd"/>
      <w:r w:rsidR="00E9085E" w:rsidRPr="00CB1476">
        <w:rPr>
          <w:rFonts w:ascii="Tahoma" w:hAnsi="Tahoma" w:cs="Tahoma"/>
          <w:bCs/>
          <w:sz w:val="22"/>
          <w:szCs w:val="22"/>
        </w:rPr>
        <w:t xml:space="preserve">, </w:t>
      </w:r>
      <w:proofErr w:type="spellStart"/>
      <w:r w:rsidR="00E9085E" w:rsidRPr="00CB1476">
        <w:rPr>
          <w:rFonts w:ascii="Tahoma" w:hAnsi="Tahoma" w:cs="Tahoma"/>
          <w:bCs/>
          <w:sz w:val="22"/>
          <w:szCs w:val="22"/>
        </w:rPr>
        <w:t>Ocrevus</w:t>
      </w:r>
      <w:proofErr w:type="spellEnd"/>
      <w:r w:rsidRPr="00CB1476">
        <w:rPr>
          <w:rFonts w:ascii="Tahoma" w:hAnsi="Tahoma" w:cs="Tahoma"/>
          <w:bCs/>
          <w:sz w:val="22"/>
          <w:szCs w:val="22"/>
        </w:rPr>
        <w:t>) čija se terapija provodi sukladno Smjernicama HZZO-a.</w:t>
      </w:r>
      <w:r w:rsidRPr="002A66DF">
        <w:rPr>
          <w:rFonts w:ascii="Tahoma" w:hAnsi="Tahoma" w:cs="Tahoma"/>
          <w:bCs/>
          <w:sz w:val="22"/>
          <w:szCs w:val="22"/>
        </w:rPr>
        <w:t xml:space="preserve"> </w:t>
      </w:r>
    </w:p>
    <w:p w:rsidR="00054F39" w:rsidRPr="002A66DF" w:rsidRDefault="00054F39" w:rsidP="003877E3">
      <w:pPr>
        <w:jc w:val="both"/>
        <w:rPr>
          <w:rFonts w:ascii="Tahoma" w:hAnsi="Tahoma" w:cs="Tahoma"/>
          <w:bCs/>
          <w:sz w:val="22"/>
          <w:szCs w:val="22"/>
        </w:rPr>
      </w:pPr>
    </w:p>
    <w:p w:rsidR="006211CB" w:rsidRPr="00CB1476" w:rsidRDefault="006211CB" w:rsidP="003877E3">
      <w:pPr>
        <w:jc w:val="both"/>
        <w:rPr>
          <w:rFonts w:ascii="Tahoma" w:hAnsi="Tahoma" w:cs="Tahoma"/>
          <w:bCs/>
          <w:sz w:val="22"/>
          <w:szCs w:val="22"/>
        </w:rPr>
      </w:pPr>
    </w:p>
    <w:p w:rsidR="003877E3" w:rsidRPr="00CB1476" w:rsidRDefault="003877E3" w:rsidP="003877E3">
      <w:pPr>
        <w:pStyle w:val="ListParagraph"/>
        <w:numPr>
          <w:ilvl w:val="2"/>
          <w:numId w:val="14"/>
        </w:numPr>
        <w:ind w:left="709" w:hanging="709"/>
        <w:jc w:val="both"/>
        <w:rPr>
          <w:rFonts w:ascii="Tahoma" w:hAnsi="Tahoma" w:cs="Tahoma"/>
          <w:b/>
          <w:bCs/>
          <w:sz w:val="22"/>
          <w:szCs w:val="22"/>
        </w:rPr>
      </w:pPr>
      <w:r w:rsidRPr="00CB1476">
        <w:rPr>
          <w:rFonts w:ascii="Tahoma" w:hAnsi="Tahoma" w:cs="Tahoma"/>
          <w:b/>
          <w:bCs/>
          <w:sz w:val="22"/>
          <w:szCs w:val="22"/>
        </w:rPr>
        <w:t>Ostali lijekovi</w:t>
      </w:r>
    </w:p>
    <w:p w:rsidR="003877E3" w:rsidRPr="00CB1476" w:rsidRDefault="003877E3" w:rsidP="003877E3">
      <w:pPr>
        <w:jc w:val="both"/>
        <w:rPr>
          <w:rFonts w:ascii="Tahoma" w:hAnsi="Tahoma" w:cs="Tahoma"/>
          <w:b/>
          <w:bCs/>
          <w:sz w:val="22"/>
          <w:szCs w:val="22"/>
        </w:rPr>
      </w:pPr>
    </w:p>
    <w:p w:rsidR="009E0B28" w:rsidRPr="002A66DF" w:rsidRDefault="009E0B28" w:rsidP="009E0B28">
      <w:pPr>
        <w:jc w:val="both"/>
        <w:rPr>
          <w:rFonts w:ascii="Tahoma" w:hAnsi="Tahoma" w:cs="Tahoma"/>
          <w:sz w:val="22"/>
          <w:szCs w:val="22"/>
        </w:rPr>
      </w:pPr>
      <w:r w:rsidRPr="00CB1476">
        <w:rPr>
          <w:rFonts w:ascii="Tahoma" w:hAnsi="Tahoma" w:cs="Tahoma"/>
          <w:sz w:val="22"/>
          <w:szCs w:val="22"/>
        </w:rPr>
        <w:t>Rashodi za ostale lijekove u ra</w:t>
      </w:r>
      <w:r w:rsidR="00B46A7F" w:rsidRPr="00CB1476">
        <w:rPr>
          <w:rFonts w:ascii="Tahoma" w:hAnsi="Tahoma" w:cs="Tahoma"/>
          <w:sz w:val="22"/>
          <w:szCs w:val="22"/>
        </w:rPr>
        <w:t xml:space="preserve">zdoblju </w:t>
      </w:r>
      <w:r w:rsidR="00E6494B" w:rsidRPr="00CB1476">
        <w:rPr>
          <w:rFonts w:ascii="Tahoma" w:hAnsi="Tahoma" w:cs="Tahoma"/>
          <w:sz w:val="22"/>
          <w:szCs w:val="22"/>
        </w:rPr>
        <w:t>od 1. siječnja do 31. prosinca 2024. godine</w:t>
      </w:r>
      <w:r w:rsidRPr="00CB1476">
        <w:rPr>
          <w:rFonts w:ascii="Tahoma" w:hAnsi="Tahoma" w:cs="Tahoma"/>
          <w:sz w:val="22"/>
          <w:szCs w:val="22"/>
        </w:rPr>
        <w:t xml:space="preserve"> ostvareni su u iznosu od </w:t>
      </w:r>
      <w:r w:rsidR="00E6494B" w:rsidRPr="00CB1476">
        <w:rPr>
          <w:rFonts w:ascii="Tahoma" w:hAnsi="Tahoma" w:cs="Tahoma"/>
          <w:sz w:val="22"/>
          <w:szCs w:val="22"/>
        </w:rPr>
        <w:t>75.907.487</w:t>
      </w:r>
      <w:r w:rsidR="00B46A7F" w:rsidRPr="00CB1476">
        <w:rPr>
          <w:rFonts w:ascii="Tahoma" w:hAnsi="Tahoma" w:cs="Tahoma"/>
          <w:sz w:val="22"/>
          <w:szCs w:val="22"/>
        </w:rPr>
        <w:t xml:space="preserve"> EUR</w:t>
      </w:r>
      <w:r w:rsidR="00C875C4" w:rsidRPr="00CB1476">
        <w:rPr>
          <w:rFonts w:ascii="Tahoma" w:hAnsi="Tahoma" w:cs="Tahoma"/>
          <w:sz w:val="22"/>
          <w:szCs w:val="22"/>
        </w:rPr>
        <w:t xml:space="preserve">  što je povećanje od 22,7</w:t>
      </w:r>
      <w:r w:rsidRPr="00CB1476">
        <w:rPr>
          <w:rFonts w:ascii="Tahoma" w:hAnsi="Tahoma" w:cs="Tahoma"/>
          <w:sz w:val="22"/>
          <w:szCs w:val="22"/>
        </w:rPr>
        <w:t xml:space="preserve">% u odnosu na isto razdoblje prethodne </w:t>
      </w:r>
      <w:r w:rsidR="00DC441D" w:rsidRPr="00CB1476">
        <w:rPr>
          <w:rFonts w:ascii="Tahoma" w:hAnsi="Tahoma" w:cs="Tahoma"/>
          <w:sz w:val="22"/>
          <w:szCs w:val="22"/>
        </w:rPr>
        <w:t>godine (61.886.652</w:t>
      </w:r>
      <w:r w:rsidR="00B46A7F" w:rsidRPr="00CB1476">
        <w:rPr>
          <w:rFonts w:ascii="Tahoma" w:hAnsi="Tahoma" w:cs="Tahoma"/>
          <w:sz w:val="22"/>
          <w:szCs w:val="22"/>
        </w:rPr>
        <w:t xml:space="preserve"> EUR</w:t>
      </w:r>
      <w:r w:rsidRPr="00CB1476">
        <w:rPr>
          <w:rFonts w:ascii="Tahoma" w:hAnsi="Tahoma" w:cs="Tahoma"/>
          <w:sz w:val="22"/>
          <w:szCs w:val="22"/>
        </w:rPr>
        <w:t>). Rashodi za ost</w:t>
      </w:r>
      <w:r w:rsidR="005371B2">
        <w:rPr>
          <w:rFonts w:ascii="Tahoma" w:hAnsi="Tahoma" w:cs="Tahoma"/>
          <w:sz w:val="22"/>
          <w:szCs w:val="22"/>
        </w:rPr>
        <w:t xml:space="preserve">ale lijekove koji su od 1. siječnja </w:t>
      </w:r>
      <w:r w:rsidR="00E83CE4" w:rsidRPr="00CB1476">
        <w:rPr>
          <w:rFonts w:ascii="Tahoma" w:hAnsi="Tahoma" w:cs="Tahoma"/>
          <w:sz w:val="22"/>
          <w:szCs w:val="22"/>
        </w:rPr>
        <w:t>2023</w:t>
      </w:r>
      <w:r w:rsidRPr="00CB1476">
        <w:rPr>
          <w:rFonts w:ascii="Tahoma" w:hAnsi="Tahoma" w:cs="Tahoma"/>
          <w:sz w:val="22"/>
          <w:szCs w:val="22"/>
        </w:rPr>
        <w:t>. godine skinuti s liste Posebno skupih lijekova u ra</w:t>
      </w:r>
      <w:r w:rsidR="00E83CE4" w:rsidRPr="00CB1476">
        <w:rPr>
          <w:rFonts w:ascii="Tahoma" w:hAnsi="Tahoma" w:cs="Tahoma"/>
          <w:sz w:val="22"/>
          <w:szCs w:val="22"/>
        </w:rPr>
        <w:t xml:space="preserve">zdoblju </w:t>
      </w:r>
      <w:r w:rsidR="00DC441D" w:rsidRPr="00CB1476">
        <w:rPr>
          <w:rFonts w:ascii="Tahoma" w:hAnsi="Tahoma" w:cs="Tahoma"/>
          <w:sz w:val="22"/>
          <w:szCs w:val="22"/>
        </w:rPr>
        <w:t>od 1. siječnja do 31. prosinca 2024. godine</w:t>
      </w:r>
      <w:r w:rsidRPr="00CB1476">
        <w:rPr>
          <w:rFonts w:ascii="Tahoma" w:hAnsi="Tahoma" w:cs="Tahoma"/>
          <w:sz w:val="22"/>
          <w:szCs w:val="22"/>
        </w:rPr>
        <w:t xml:space="preserve"> ostvareni su u iznosu od </w:t>
      </w:r>
      <w:r w:rsidR="00DC441D" w:rsidRPr="00CB1476">
        <w:rPr>
          <w:rFonts w:ascii="Tahoma" w:hAnsi="Tahoma" w:cs="Tahoma"/>
          <w:sz w:val="22"/>
          <w:szCs w:val="22"/>
        </w:rPr>
        <w:t>13.567.905</w:t>
      </w:r>
      <w:r w:rsidR="00D6755E" w:rsidRPr="00CB1476">
        <w:rPr>
          <w:rFonts w:ascii="Tahoma" w:hAnsi="Tahoma" w:cs="Tahoma"/>
          <w:sz w:val="22"/>
          <w:szCs w:val="22"/>
        </w:rPr>
        <w:t xml:space="preserve"> EUR </w:t>
      </w:r>
      <w:r w:rsidRPr="00CB1476">
        <w:rPr>
          <w:rFonts w:ascii="Tahoma" w:hAnsi="Tahoma" w:cs="Tahoma"/>
          <w:sz w:val="22"/>
          <w:szCs w:val="22"/>
        </w:rPr>
        <w:t>(</w:t>
      </w:r>
      <w:proofErr w:type="spellStart"/>
      <w:r w:rsidR="00FC007B" w:rsidRPr="00CB1476">
        <w:rPr>
          <w:rFonts w:ascii="Tahoma" w:hAnsi="Tahoma" w:cs="Tahoma"/>
          <w:sz w:val="22"/>
          <w:szCs w:val="22"/>
        </w:rPr>
        <w:t>Xtandi</w:t>
      </w:r>
      <w:proofErr w:type="spellEnd"/>
      <w:r w:rsidR="00FC007B" w:rsidRPr="00CB1476">
        <w:rPr>
          <w:rFonts w:ascii="Tahoma" w:hAnsi="Tahoma" w:cs="Tahoma"/>
          <w:sz w:val="22"/>
          <w:szCs w:val="22"/>
        </w:rPr>
        <w:t xml:space="preserve">, </w:t>
      </w:r>
      <w:proofErr w:type="spellStart"/>
      <w:r w:rsidR="00FC007B" w:rsidRPr="00CB1476">
        <w:rPr>
          <w:rFonts w:ascii="Tahoma" w:hAnsi="Tahoma" w:cs="Tahoma"/>
          <w:sz w:val="22"/>
          <w:szCs w:val="22"/>
        </w:rPr>
        <w:t>Erleada</w:t>
      </w:r>
      <w:proofErr w:type="spellEnd"/>
      <w:r w:rsidR="00FC007B" w:rsidRPr="00CB1476">
        <w:rPr>
          <w:rFonts w:ascii="Tahoma" w:hAnsi="Tahoma" w:cs="Tahoma"/>
          <w:sz w:val="22"/>
          <w:szCs w:val="22"/>
        </w:rPr>
        <w:t xml:space="preserve">, </w:t>
      </w:r>
      <w:proofErr w:type="spellStart"/>
      <w:r w:rsidR="00FC007B" w:rsidRPr="00CB1476">
        <w:rPr>
          <w:rFonts w:ascii="Tahoma" w:hAnsi="Tahoma" w:cs="Tahoma"/>
          <w:sz w:val="22"/>
          <w:szCs w:val="22"/>
        </w:rPr>
        <w:t>Ofev</w:t>
      </w:r>
      <w:proofErr w:type="spellEnd"/>
      <w:r w:rsidR="00FC007B" w:rsidRPr="00CB1476">
        <w:rPr>
          <w:rFonts w:ascii="Tahoma" w:hAnsi="Tahoma" w:cs="Tahoma"/>
          <w:sz w:val="22"/>
          <w:szCs w:val="22"/>
        </w:rPr>
        <w:t xml:space="preserve">, </w:t>
      </w:r>
      <w:proofErr w:type="spellStart"/>
      <w:r w:rsidR="00FC007B" w:rsidRPr="00CB1476">
        <w:rPr>
          <w:rFonts w:ascii="Tahoma" w:hAnsi="Tahoma" w:cs="Tahoma"/>
          <w:sz w:val="22"/>
          <w:szCs w:val="22"/>
        </w:rPr>
        <w:t>Revolade</w:t>
      </w:r>
      <w:proofErr w:type="spellEnd"/>
      <w:r w:rsidRPr="00CB1476">
        <w:rPr>
          <w:rFonts w:ascii="Tahoma" w:hAnsi="Tahoma" w:cs="Tahoma"/>
          <w:sz w:val="22"/>
          <w:szCs w:val="22"/>
        </w:rPr>
        <w:t>).</w:t>
      </w:r>
    </w:p>
    <w:p w:rsidR="003877E3" w:rsidRDefault="003877E3" w:rsidP="003877E3">
      <w:pPr>
        <w:jc w:val="both"/>
        <w:rPr>
          <w:rFonts w:ascii="Tahoma" w:hAnsi="Tahoma" w:cs="Tahoma"/>
          <w:color w:val="FF0000"/>
          <w:sz w:val="22"/>
          <w:szCs w:val="22"/>
        </w:rPr>
      </w:pPr>
    </w:p>
    <w:p w:rsidR="007D464E" w:rsidRPr="002A66DF" w:rsidRDefault="007D464E" w:rsidP="003877E3">
      <w:pPr>
        <w:jc w:val="both"/>
        <w:rPr>
          <w:rFonts w:ascii="Tahoma" w:hAnsi="Tahoma" w:cs="Tahoma"/>
          <w:color w:val="FF0000"/>
          <w:sz w:val="22"/>
          <w:szCs w:val="22"/>
        </w:rPr>
      </w:pPr>
    </w:p>
    <w:p w:rsidR="003877E3" w:rsidRPr="002A66DF" w:rsidRDefault="003877E3" w:rsidP="003877E3">
      <w:pPr>
        <w:pStyle w:val="ListParagraph"/>
        <w:numPr>
          <w:ilvl w:val="2"/>
          <w:numId w:val="14"/>
        </w:numPr>
        <w:ind w:left="709" w:hanging="709"/>
        <w:jc w:val="both"/>
        <w:rPr>
          <w:rFonts w:ascii="Tahoma" w:hAnsi="Tahoma" w:cs="Tahoma"/>
          <w:b/>
          <w:sz w:val="22"/>
          <w:szCs w:val="22"/>
        </w:rPr>
      </w:pPr>
      <w:r w:rsidRPr="002A66DF">
        <w:rPr>
          <w:rFonts w:ascii="Tahoma" w:hAnsi="Tahoma" w:cs="Tahoma"/>
          <w:b/>
          <w:sz w:val="22"/>
          <w:szCs w:val="22"/>
        </w:rPr>
        <w:t>Medicinski potrošni materijal</w:t>
      </w:r>
    </w:p>
    <w:p w:rsidR="003877E3" w:rsidRPr="002A66DF" w:rsidRDefault="003877E3" w:rsidP="003877E3">
      <w:pPr>
        <w:jc w:val="both"/>
        <w:rPr>
          <w:rFonts w:ascii="Tahoma" w:hAnsi="Tahoma" w:cs="Tahoma"/>
          <w:sz w:val="22"/>
          <w:szCs w:val="22"/>
        </w:rPr>
      </w:pPr>
    </w:p>
    <w:p w:rsidR="003877E3" w:rsidRPr="002A66DF" w:rsidRDefault="003877E3" w:rsidP="003877E3">
      <w:pPr>
        <w:jc w:val="both"/>
        <w:rPr>
          <w:rFonts w:ascii="Tahoma" w:hAnsi="Tahoma" w:cs="Tahoma"/>
          <w:sz w:val="22"/>
          <w:szCs w:val="22"/>
        </w:rPr>
      </w:pPr>
      <w:r w:rsidRPr="002A66DF">
        <w:rPr>
          <w:rFonts w:ascii="Tahoma" w:hAnsi="Tahoma" w:cs="Tahoma"/>
          <w:sz w:val="22"/>
          <w:szCs w:val="22"/>
        </w:rPr>
        <w:t xml:space="preserve">Rashodi za medicinski potrošni materijal u </w:t>
      </w:r>
      <w:r w:rsidRPr="00CB1476">
        <w:rPr>
          <w:rFonts w:ascii="Tahoma" w:hAnsi="Tahoma" w:cs="Tahoma"/>
          <w:sz w:val="22"/>
          <w:szCs w:val="22"/>
        </w:rPr>
        <w:t>ra</w:t>
      </w:r>
      <w:r w:rsidR="00C16375" w:rsidRPr="00CB1476">
        <w:rPr>
          <w:rFonts w:ascii="Tahoma" w:hAnsi="Tahoma" w:cs="Tahoma"/>
          <w:sz w:val="22"/>
          <w:szCs w:val="22"/>
        </w:rPr>
        <w:t xml:space="preserve">zdoblju </w:t>
      </w:r>
      <w:r w:rsidR="00CB5D25" w:rsidRPr="00CB1476">
        <w:rPr>
          <w:rFonts w:ascii="Tahoma" w:hAnsi="Tahoma" w:cs="Tahoma"/>
          <w:sz w:val="22"/>
          <w:szCs w:val="22"/>
        </w:rPr>
        <w:t>od 1. siječnja do 31. prosinca 2024. godine</w:t>
      </w:r>
      <w:r w:rsidRPr="00CB1476">
        <w:rPr>
          <w:rFonts w:ascii="Tahoma" w:hAnsi="Tahoma" w:cs="Tahoma"/>
          <w:sz w:val="22"/>
          <w:szCs w:val="22"/>
        </w:rPr>
        <w:t xml:space="preserve"> ostvareni su u iznosu od </w:t>
      </w:r>
      <w:r w:rsidR="00CB5D25" w:rsidRPr="00CB1476">
        <w:rPr>
          <w:rFonts w:ascii="Tahoma" w:hAnsi="Tahoma" w:cs="Tahoma"/>
          <w:sz w:val="22"/>
          <w:szCs w:val="22"/>
        </w:rPr>
        <w:t>80.300.777</w:t>
      </w:r>
      <w:r w:rsidR="00C16375" w:rsidRPr="00CB1476">
        <w:rPr>
          <w:rFonts w:ascii="Tahoma" w:hAnsi="Tahoma" w:cs="Tahoma"/>
          <w:sz w:val="22"/>
          <w:szCs w:val="22"/>
        </w:rPr>
        <w:t xml:space="preserve"> EUR</w:t>
      </w:r>
      <w:r w:rsidR="00AB387D" w:rsidRPr="00CB1476">
        <w:rPr>
          <w:rFonts w:ascii="Tahoma" w:hAnsi="Tahoma" w:cs="Tahoma"/>
          <w:sz w:val="22"/>
          <w:szCs w:val="22"/>
        </w:rPr>
        <w:t xml:space="preserve"> što je povećanje od 19,4</w:t>
      </w:r>
      <w:r w:rsidRPr="00CB1476">
        <w:rPr>
          <w:rFonts w:ascii="Tahoma" w:hAnsi="Tahoma" w:cs="Tahoma"/>
          <w:sz w:val="22"/>
          <w:szCs w:val="22"/>
        </w:rPr>
        <w:t>% u odnosu na isto razdoblje prethodne godine (</w:t>
      </w:r>
      <w:r w:rsidR="004F767C" w:rsidRPr="00CB1476">
        <w:rPr>
          <w:rFonts w:ascii="Tahoma" w:hAnsi="Tahoma" w:cs="Tahoma"/>
          <w:sz w:val="22"/>
          <w:szCs w:val="22"/>
        </w:rPr>
        <w:t>67.230.633</w:t>
      </w:r>
      <w:r w:rsidR="00C16375" w:rsidRPr="00CB1476">
        <w:rPr>
          <w:rFonts w:ascii="Tahoma" w:hAnsi="Tahoma" w:cs="Tahoma"/>
          <w:sz w:val="22"/>
          <w:szCs w:val="22"/>
        </w:rPr>
        <w:t xml:space="preserve"> EUR</w:t>
      </w:r>
      <w:r w:rsidRPr="00CB1476">
        <w:rPr>
          <w:rFonts w:ascii="Tahoma" w:hAnsi="Tahoma" w:cs="Tahoma"/>
          <w:sz w:val="22"/>
          <w:szCs w:val="22"/>
        </w:rPr>
        <w:t xml:space="preserve">). Od toga rashodi za medicinski potrošni materijal izvan limita ostvareni su u iznosu od </w:t>
      </w:r>
      <w:r w:rsidR="00892961" w:rsidRPr="00CB1476">
        <w:rPr>
          <w:rFonts w:ascii="Tahoma" w:hAnsi="Tahoma" w:cs="Tahoma"/>
          <w:sz w:val="22"/>
          <w:szCs w:val="22"/>
        </w:rPr>
        <w:t>20.227.431</w:t>
      </w:r>
      <w:r w:rsidR="00137E17" w:rsidRPr="00CB1476">
        <w:rPr>
          <w:rFonts w:ascii="Tahoma" w:hAnsi="Tahoma" w:cs="Tahoma"/>
          <w:sz w:val="22"/>
          <w:szCs w:val="22"/>
        </w:rPr>
        <w:t xml:space="preserve"> EUR</w:t>
      </w:r>
      <w:r w:rsidRPr="00CB1476">
        <w:rPr>
          <w:rFonts w:ascii="Tahoma" w:hAnsi="Tahoma" w:cs="Tahoma"/>
          <w:sz w:val="22"/>
          <w:szCs w:val="22"/>
        </w:rPr>
        <w:t xml:space="preserve"> (</w:t>
      </w:r>
      <w:r w:rsidR="00057776" w:rsidRPr="00CB1476">
        <w:rPr>
          <w:rFonts w:ascii="Tahoma" w:hAnsi="Tahoma" w:cs="Tahoma"/>
          <w:sz w:val="22"/>
          <w:szCs w:val="22"/>
        </w:rPr>
        <w:t>Posebno skupi materijali 5.849.282 EUR</w:t>
      </w:r>
      <w:r w:rsidR="00057776">
        <w:rPr>
          <w:rFonts w:ascii="Tahoma" w:hAnsi="Tahoma" w:cs="Tahoma"/>
          <w:sz w:val="22"/>
          <w:szCs w:val="22"/>
        </w:rPr>
        <w:t>,</w:t>
      </w:r>
      <w:r w:rsidR="00057776" w:rsidRPr="00CB1476">
        <w:rPr>
          <w:rFonts w:ascii="Tahoma" w:hAnsi="Tahoma" w:cs="Tahoma"/>
          <w:sz w:val="22"/>
          <w:szCs w:val="22"/>
        </w:rPr>
        <w:t xml:space="preserve"> </w:t>
      </w:r>
      <w:r w:rsidR="00241EA4" w:rsidRPr="00CB1476">
        <w:rPr>
          <w:rFonts w:ascii="Tahoma" w:hAnsi="Tahoma" w:cs="Tahoma"/>
          <w:sz w:val="22"/>
          <w:szCs w:val="22"/>
        </w:rPr>
        <w:t xml:space="preserve">Intervencijska neurologija </w:t>
      </w:r>
      <w:r w:rsidR="00BD61F1" w:rsidRPr="00CB1476">
        <w:rPr>
          <w:rFonts w:ascii="Tahoma" w:hAnsi="Tahoma" w:cs="Tahoma"/>
          <w:sz w:val="22"/>
          <w:szCs w:val="22"/>
        </w:rPr>
        <w:t xml:space="preserve">i </w:t>
      </w:r>
      <w:proofErr w:type="spellStart"/>
      <w:r w:rsidR="00BD61F1" w:rsidRPr="00CB1476">
        <w:rPr>
          <w:rFonts w:ascii="Tahoma" w:hAnsi="Tahoma" w:cs="Tahoma"/>
          <w:sz w:val="22"/>
          <w:szCs w:val="22"/>
        </w:rPr>
        <w:t>ne</w:t>
      </w:r>
      <w:r w:rsidR="00B00701">
        <w:rPr>
          <w:rFonts w:ascii="Tahoma" w:hAnsi="Tahoma" w:cs="Tahoma"/>
          <w:sz w:val="22"/>
          <w:szCs w:val="22"/>
        </w:rPr>
        <w:t>uroradiologija</w:t>
      </w:r>
      <w:proofErr w:type="spellEnd"/>
      <w:r w:rsidR="00B00701">
        <w:rPr>
          <w:rFonts w:ascii="Tahoma" w:hAnsi="Tahoma" w:cs="Tahoma"/>
          <w:sz w:val="22"/>
          <w:szCs w:val="22"/>
        </w:rPr>
        <w:t xml:space="preserve"> 5.542.033 EUR, </w:t>
      </w:r>
      <w:r w:rsidR="00BD61F1" w:rsidRPr="00CB1476">
        <w:rPr>
          <w:rFonts w:ascii="Tahoma" w:hAnsi="Tahoma" w:cs="Tahoma"/>
          <w:sz w:val="22"/>
          <w:szCs w:val="22"/>
        </w:rPr>
        <w:t>Transplantacije 5.066.155</w:t>
      </w:r>
      <w:r w:rsidR="00F87508" w:rsidRPr="00CB1476">
        <w:rPr>
          <w:rFonts w:ascii="Tahoma" w:hAnsi="Tahoma" w:cs="Tahoma"/>
          <w:sz w:val="22"/>
          <w:szCs w:val="22"/>
        </w:rPr>
        <w:t xml:space="preserve"> EUR</w:t>
      </w:r>
      <w:r w:rsidRPr="00CB1476">
        <w:rPr>
          <w:rFonts w:ascii="Tahoma" w:hAnsi="Tahoma" w:cs="Tahoma"/>
          <w:sz w:val="22"/>
          <w:szCs w:val="22"/>
        </w:rPr>
        <w:t>) što</w:t>
      </w:r>
      <w:r w:rsidR="00892961" w:rsidRPr="00CB1476">
        <w:rPr>
          <w:rFonts w:ascii="Tahoma" w:hAnsi="Tahoma" w:cs="Tahoma"/>
          <w:sz w:val="22"/>
          <w:szCs w:val="22"/>
        </w:rPr>
        <w:t xml:space="preserve"> je povećanje od 24,6</w:t>
      </w:r>
      <w:r w:rsidRPr="00CB1476">
        <w:rPr>
          <w:rFonts w:ascii="Tahoma" w:hAnsi="Tahoma" w:cs="Tahoma"/>
          <w:sz w:val="22"/>
          <w:szCs w:val="22"/>
        </w:rPr>
        <w:t>% u odnosu na isto razdoblje prethodne godine (</w:t>
      </w:r>
      <w:r w:rsidR="00892961" w:rsidRPr="00CB1476">
        <w:rPr>
          <w:rFonts w:ascii="Tahoma" w:hAnsi="Tahoma" w:cs="Tahoma"/>
          <w:sz w:val="22"/>
          <w:szCs w:val="22"/>
        </w:rPr>
        <w:t>16.234.754</w:t>
      </w:r>
      <w:r w:rsidR="00137E17" w:rsidRPr="00CB1476">
        <w:rPr>
          <w:rFonts w:ascii="Tahoma" w:hAnsi="Tahoma" w:cs="Tahoma"/>
          <w:sz w:val="22"/>
          <w:szCs w:val="22"/>
        </w:rPr>
        <w:t xml:space="preserve"> EUR</w:t>
      </w:r>
      <w:r w:rsidRPr="00CB1476">
        <w:rPr>
          <w:rFonts w:ascii="Tahoma" w:hAnsi="Tahoma" w:cs="Tahoma"/>
          <w:sz w:val="22"/>
          <w:szCs w:val="22"/>
        </w:rPr>
        <w:t>).</w:t>
      </w:r>
    </w:p>
    <w:p w:rsidR="003877E3" w:rsidRDefault="003877E3" w:rsidP="003877E3">
      <w:pPr>
        <w:jc w:val="both"/>
        <w:rPr>
          <w:rFonts w:ascii="Tahoma" w:hAnsi="Tahoma" w:cs="Tahoma"/>
          <w:sz w:val="22"/>
          <w:szCs w:val="22"/>
        </w:rPr>
      </w:pPr>
    </w:p>
    <w:p w:rsidR="007D464E" w:rsidRPr="002A66DF" w:rsidRDefault="007D464E" w:rsidP="003877E3">
      <w:pPr>
        <w:jc w:val="both"/>
        <w:rPr>
          <w:rFonts w:ascii="Tahoma" w:hAnsi="Tahoma" w:cs="Tahoma"/>
          <w:sz w:val="22"/>
          <w:szCs w:val="22"/>
        </w:rPr>
      </w:pPr>
    </w:p>
    <w:p w:rsidR="003877E3" w:rsidRPr="002A66DF" w:rsidRDefault="003877E3" w:rsidP="003877E3">
      <w:pPr>
        <w:pStyle w:val="ListParagraph"/>
        <w:numPr>
          <w:ilvl w:val="2"/>
          <w:numId w:val="14"/>
        </w:numPr>
        <w:ind w:left="709" w:hanging="709"/>
        <w:jc w:val="both"/>
        <w:rPr>
          <w:rFonts w:ascii="Tahoma" w:hAnsi="Tahoma" w:cs="Tahoma"/>
          <w:b/>
          <w:sz w:val="22"/>
          <w:szCs w:val="22"/>
        </w:rPr>
      </w:pPr>
      <w:r w:rsidRPr="002A66DF">
        <w:rPr>
          <w:rFonts w:ascii="Tahoma" w:hAnsi="Tahoma" w:cs="Tahoma"/>
          <w:b/>
          <w:sz w:val="22"/>
          <w:szCs w:val="22"/>
        </w:rPr>
        <w:t>Krv i krvni pripravci</w:t>
      </w:r>
    </w:p>
    <w:p w:rsidR="003877E3" w:rsidRPr="002A66DF" w:rsidRDefault="003877E3" w:rsidP="003877E3">
      <w:pPr>
        <w:jc w:val="both"/>
        <w:rPr>
          <w:rFonts w:ascii="Tahoma" w:hAnsi="Tahoma" w:cs="Tahoma"/>
          <w:sz w:val="22"/>
          <w:szCs w:val="22"/>
        </w:rPr>
      </w:pPr>
    </w:p>
    <w:p w:rsidR="00911DE3" w:rsidRPr="00E05B7A" w:rsidRDefault="003877E3" w:rsidP="00911DE3">
      <w:pPr>
        <w:jc w:val="both"/>
        <w:rPr>
          <w:rFonts w:ascii="Tahoma" w:hAnsi="Tahoma" w:cs="Tahoma"/>
          <w:sz w:val="22"/>
          <w:szCs w:val="22"/>
        </w:rPr>
      </w:pPr>
      <w:r w:rsidRPr="002A66DF">
        <w:rPr>
          <w:rFonts w:ascii="Tahoma" w:hAnsi="Tahoma" w:cs="Tahoma"/>
          <w:sz w:val="22"/>
          <w:szCs w:val="22"/>
        </w:rPr>
        <w:t>Rashodi za krv i krvne pripravke u ra</w:t>
      </w:r>
      <w:r w:rsidR="00911DE3" w:rsidRPr="002A66DF">
        <w:rPr>
          <w:rFonts w:ascii="Tahoma" w:hAnsi="Tahoma" w:cs="Tahoma"/>
          <w:sz w:val="22"/>
          <w:szCs w:val="22"/>
        </w:rPr>
        <w:t xml:space="preserve">zdoblju </w:t>
      </w:r>
      <w:r w:rsidR="001C1738" w:rsidRPr="00057776">
        <w:rPr>
          <w:rFonts w:ascii="Tahoma" w:hAnsi="Tahoma" w:cs="Tahoma"/>
          <w:sz w:val="22"/>
          <w:szCs w:val="22"/>
        </w:rPr>
        <w:t>od 1. siječnja do 31. prosinca 2024. godine</w:t>
      </w:r>
      <w:r w:rsidRPr="00057776">
        <w:rPr>
          <w:rFonts w:ascii="Tahoma" w:hAnsi="Tahoma" w:cs="Tahoma"/>
          <w:sz w:val="22"/>
          <w:szCs w:val="22"/>
        </w:rPr>
        <w:t xml:space="preserve"> ostvareni su u iznosu od </w:t>
      </w:r>
      <w:r w:rsidR="001C1738" w:rsidRPr="00057776">
        <w:rPr>
          <w:rFonts w:ascii="Tahoma" w:hAnsi="Tahoma" w:cs="Tahoma"/>
          <w:sz w:val="22"/>
          <w:szCs w:val="22"/>
        </w:rPr>
        <w:t>18.021.013</w:t>
      </w:r>
      <w:r w:rsidR="00911DE3" w:rsidRPr="00057776">
        <w:rPr>
          <w:rFonts w:ascii="Tahoma" w:hAnsi="Tahoma" w:cs="Tahoma"/>
          <w:sz w:val="22"/>
          <w:szCs w:val="22"/>
        </w:rPr>
        <w:t xml:space="preserve"> EUR</w:t>
      </w:r>
      <w:r w:rsidR="001C1738" w:rsidRPr="00057776">
        <w:rPr>
          <w:rFonts w:ascii="Tahoma" w:hAnsi="Tahoma" w:cs="Tahoma"/>
          <w:sz w:val="22"/>
          <w:szCs w:val="22"/>
        </w:rPr>
        <w:t xml:space="preserve"> što je povećanje od 16,2</w:t>
      </w:r>
      <w:r w:rsidRPr="00057776">
        <w:rPr>
          <w:rFonts w:ascii="Tahoma" w:hAnsi="Tahoma" w:cs="Tahoma"/>
          <w:sz w:val="22"/>
          <w:szCs w:val="22"/>
        </w:rPr>
        <w:t>%</w:t>
      </w:r>
      <w:r w:rsidR="007A6E05" w:rsidRPr="00057776">
        <w:rPr>
          <w:rFonts w:ascii="Tahoma" w:hAnsi="Tahoma" w:cs="Tahoma"/>
          <w:sz w:val="22"/>
          <w:szCs w:val="22"/>
        </w:rPr>
        <w:t xml:space="preserve"> </w:t>
      </w:r>
      <w:r w:rsidRPr="00057776">
        <w:rPr>
          <w:rFonts w:ascii="Tahoma" w:hAnsi="Tahoma" w:cs="Tahoma"/>
          <w:sz w:val="22"/>
          <w:szCs w:val="22"/>
        </w:rPr>
        <w:t>u odnosu na isto razdoblje prethodne godine (</w:t>
      </w:r>
      <w:r w:rsidR="001C1738" w:rsidRPr="00057776">
        <w:rPr>
          <w:rFonts w:ascii="Tahoma" w:hAnsi="Tahoma" w:cs="Tahoma"/>
          <w:sz w:val="22"/>
          <w:szCs w:val="22"/>
        </w:rPr>
        <w:t>15.509.076</w:t>
      </w:r>
      <w:r w:rsidR="00911DE3" w:rsidRPr="00057776">
        <w:rPr>
          <w:rFonts w:ascii="Tahoma" w:hAnsi="Tahoma" w:cs="Tahoma"/>
          <w:sz w:val="22"/>
          <w:szCs w:val="22"/>
        </w:rPr>
        <w:t xml:space="preserve"> EUR</w:t>
      </w:r>
      <w:r w:rsidRPr="00057776">
        <w:rPr>
          <w:rFonts w:ascii="Tahoma" w:hAnsi="Tahoma" w:cs="Tahoma"/>
          <w:sz w:val="22"/>
          <w:szCs w:val="22"/>
        </w:rPr>
        <w:t xml:space="preserve">). </w:t>
      </w:r>
      <w:r w:rsidR="00911DE3" w:rsidRPr="00057776">
        <w:rPr>
          <w:rFonts w:ascii="Tahoma" w:hAnsi="Tahoma" w:cs="Tahoma"/>
          <w:sz w:val="22"/>
          <w:szCs w:val="22"/>
        </w:rPr>
        <w:t xml:space="preserve">Najveći trošak odnosi se na: </w:t>
      </w:r>
      <w:proofErr w:type="spellStart"/>
      <w:r w:rsidR="00911DE3" w:rsidRPr="00057776">
        <w:rPr>
          <w:rFonts w:ascii="Tahoma" w:hAnsi="Tahoma" w:cs="Tahoma"/>
          <w:sz w:val="22"/>
          <w:szCs w:val="22"/>
        </w:rPr>
        <w:t>Octagam</w:t>
      </w:r>
      <w:proofErr w:type="spellEnd"/>
      <w:r w:rsidR="00911DE3" w:rsidRPr="00057776">
        <w:rPr>
          <w:rFonts w:ascii="Tahoma" w:hAnsi="Tahoma" w:cs="Tahoma"/>
          <w:sz w:val="22"/>
          <w:szCs w:val="22"/>
        </w:rPr>
        <w:t>,</w:t>
      </w:r>
      <w:r w:rsidR="001B04CA" w:rsidRPr="00057776">
        <w:rPr>
          <w:rFonts w:ascii="Tahoma" w:hAnsi="Tahoma" w:cs="Tahoma"/>
          <w:sz w:val="22"/>
          <w:szCs w:val="22"/>
        </w:rPr>
        <w:t xml:space="preserve"> </w:t>
      </w:r>
      <w:proofErr w:type="spellStart"/>
      <w:r w:rsidR="001B04CA" w:rsidRPr="00057776">
        <w:rPr>
          <w:rFonts w:ascii="Tahoma" w:hAnsi="Tahoma" w:cs="Tahoma"/>
          <w:sz w:val="22"/>
          <w:szCs w:val="22"/>
        </w:rPr>
        <w:t>NovoSeven</w:t>
      </w:r>
      <w:proofErr w:type="spellEnd"/>
      <w:r w:rsidR="00075539">
        <w:rPr>
          <w:rFonts w:ascii="Tahoma" w:hAnsi="Tahoma" w:cs="Tahoma"/>
          <w:sz w:val="22"/>
          <w:szCs w:val="22"/>
        </w:rPr>
        <w:t>, CYTOTECT i</w:t>
      </w:r>
      <w:r w:rsidR="001B04CA" w:rsidRPr="00057776">
        <w:rPr>
          <w:rFonts w:ascii="Tahoma" w:hAnsi="Tahoma" w:cs="Tahoma"/>
          <w:sz w:val="22"/>
          <w:szCs w:val="22"/>
        </w:rPr>
        <w:t xml:space="preserve"> </w:t>
      </w:r>
      <w:proofErr w:type="spellStart"/>
      <w:r w:rsidR="001B04CA" w:rsidRPr="00057776">
        <w:rPr>
          <w:rFonts w:ascii="Tahoma" w:hAnsi="Tahoma" w:cs="Tahoma"/>
          <w:sz w:val="22"/>
          <w:szCs w:val="22"/>
        </w:rPr>
        <w:t>Fibryga</w:t>
      </w:r>
      <w:proofErr w:type="spellEnd"/>
      <w:r w:rsidR="00911DE3" w:rsidRPr="00057776">
        <w:rPr>
          <w:rFonts w:ascii="Tahoma" w:hAnsi="Tahoma" w:cs="Tahoma"/>
          <w:sz w:val="22"/>
          <w:szCs w:val="22"/>
        </w:rPr>
        <w:t>.</w:t>
      </w:r>
    </w:p>
    <w:p w:rsidR="003877E3" w:rsidRDefault="003877E3" w:rsidP="003877E3">
      <w:pPr>
        <w:jc w:val="both"/>
        <w:rPr>
          <w:rFonts w:ascii="Tahoma" w:hAnsi="Tahoma" w:cs="Tahoma"/>
          <w:sz w:val="22"/>
          <w:szCs w:val="22"/>
        </w:rPr>
      </w:pPr>
    </w:p>
    <w:p w:rsidR="007D464E" w:rsidRDefault="007D464E" w:rsidP="003877E3">
      <w:pPr>
        <w:jc w:val="both"/>
        <w:rPr>
          <w:rFonts w:ascii="Tahoma" w:hAnsi="Tahoma" w:cs="Tahoma"/>
          <w:sz w:val="22"/>
          <w:szCs w:val="22"/>
        </w:rPr>
      </w:pPr>
    </w:p>
    <w:p w:rsidR="003877E3" w:rsidRPr="00222CA9" w:rsidRDefault="003877E3" w:rsidP="003877E3">
      <w:pPr>
        <w:pStyle w:val="ListParagraph"/>
        <w:numPr>
          <w:ilvl w:val="2"/>
          <w:numId w:val="14"/>
        </w:numPr>
        <w:ind w:left="709" w:hanging="709"/>
        <w:jc w:val="both"/>
        <w:rPr>
          <w:rFonts w:ascii="Tahoma" w:hAnsi="Tahoma" w:cs="Tahoma"/>
          <w:b/>
          <w:sz w:val="22"/>
          <w:szCs w:val="22"/>
        </w:rPr>
      </w:pPr>
      <w:r w:rsidRPr="00222CA9">
        <w:rPr>
          <w:rFonts w:ascii="Tahoma" w:hAnsi="Tahoma" w:cs="Tahoma"/>
          <w:b/>
          <w:sz w:val="22"/>
          <w:szCs w:val="22"/>
        </w:rPr>
        <w:t>Ostali materijalni rashodi</w:t>
      </w:r>
    </w:p>
    <w:p w:rsidR="003877E3" w:rsidRDefault="003877E3" w:rsidP="003877E3">
      <w:pPr>
        <w:jc w:val="both"/>
        <w:rPr>
          <w:rFonts w:ascii="Tahoma" w:hAnsi="Tahoma" w:cs="Tahoma"/>
          <w:sz w:val="22"/>
          <w:szCs w:val="22"/>
        </w:rPr>
      </w:pPr>
    </w:p>
    <w:p w:rsidR="001D5EF7" w:rsidRPr="00057776" w:rsidRDefault="00D83D84" w:rsidP="001D5EF7">
      <w:pPr>
        <w:pStyle w:val="ListParagraph"/>
        <w:numPr>
          <w:ilvl w:val="0"/>
          <w:numId w:val="6"/>
        </w:numPr>
        <w:jc w:val="both"/>
        <w:rPr>
          <w:rFonts w:ascii="Tahoma" w:hAnsi="Tahoma" w:cs="Tahoma"/>
          <w:b/>
          <w:sz w:val="22"/>
          <w:szCs w:val="22"/>
        </w:rPr>
      </w:pPr>
      <w:r w:rsidRPr="00057776">
        <w:rPr>
          <w:rFonts w:ascii="Tahoma" w:hAnsi="Tahoma" w:cs="Tahoma"/>
          <w:b/>
          <w:sz w:val="22"/>
          <w:szCs w:val="22"/>
        </w:rPr>
        <w:t>E</w:t>
      </w:r>
      <w:r w:rsidR="001D5EF7" w:rsidRPr="00057776">
        <w:rPr>
          <w:rFonts w:ascii="Tahoma" w:hAnsi="Tahoma" w:cs="Tahoma"/>
          <w:b/>
          <w:sz w:val="22"/>
          <w:szCs w:val="22"/>
        </w:rPr>
        <w:t>nergija</w:t>
      </w:r>
      <w:r w:rsidR="007A1281" w:rsidRPr="00057776">
        <w:rPr>
          <w:rFonts w:ascii="Tahoma" w:hAnsi="Tahoma" w:cs="Tahoma"/>
          <w:b/>
          <w:sz w:val="22"/>
          <w:szCs w:val="22"/>
        </w:rPr>
        <w:t xml:space="preserve"> (Šifra 3223)</w:t>
      </w:r>
    </w:p>
    <w:p w:rsidR="001D5EF7" w:rsidRPr="00057776" w:rsidRDefault="001D5EF7" w:rsidP="001D5EF7">
      <w:pPr>
        <w:jc w:val="both"/>
        <w:rPr>
          <w:rFonts w:ascii="Tahoma" w:hAnsi="Tahoma" w:cs="Tahoma"/>
          <w:sz w:val="22"/>
          <w:szCs w:val="22"/>
        </w:rPr>
      </w:pPr>
    </w:p>
    <w:tbl>
      <w:tblPr>
        <w:tblW w:w="8833" w:type="dxa"/>
        <w:tblInd w:w="93" w:type="dxa"/>
        <w:tblLook w:val="04A0" w:firstRow="1" w:lastRow="0" w:firstColumn="1" w:lastColumn="0" w:noHBand="0" w:noVBand="1"/>
      </w:tblPr>
      <w:tblGrid>
        <w:gridCol w:w="2596"/>
        <w:gridCol w:w="2126"/>
        <w:gridCol w:w="1843"/>
        <w:gridCol w:w="2268"/>
      </w:tblGrid>
      <w:tr w:rsidR="001D5EF7" w:rsidRPr="00057776" w:rsidTr="00222CA9">
        <w:trPr>
          <w:trHeight w:val="570"/>
        </w:trPr>
        <w:tc>
          <w:tcPr>
            <w:tcW w:w="2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EF7" w:rsidRPr="00057776" w:rsidRDefault="00D83D84" w:rsidP="005A213E">
            <w:pPr>
              <w:jc w:val="center"/>
              <w:rPr>
                <w:rFonts w:ascii="Tahoma" w:hAnsi="Tahoma" w:cs="Tahoma"/>
                <w:b/>
                <w:bCs/>
                <w:lang w:eastAsia="hr-HR"/>
              </w:rPr>
            </w:pPr>
            <w:r w:rsidRPr="00057776">
              <w:rPr>
                <w:rFonts w:ascii="Tahoma" w:hAnsi="Tahoma" w:cs="Tahoma"/>
                <w:b/>
                <w:bCs/>
                <w:sz w:val="20"/>
                <w:lang w:eastAsia="hr-HR"/>
              </w:rPr>
              <w:t>E</w:t>
            </w:r>
            <w:r w:rsidR="001D5EF7" w:rsidRPr="00057776">
              <w:rPr>
                <w:rFonts w:ascii="Tahoma" w:hAnsi="Tahoma" w:cs="Tahoma"/>
                <w:b/>
                <w:bCs/>
                <w:sz w:val="20"/>
                <w:lang w:eastAsia="hr-HR"/>
              </w:rPr>
              <w:t>nergija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D5EF7" w:rsidRPr="00057776" w:rsidRDefault="001D5EF7" w:rsidP="00222CA9">
            <w:pPr>
              <w:jc w:val="center"/>
              <w:rPr>
                <w:rFonts w:ascii="Tahoma" w:hAnsi="Tahoma" w:cs="Tahoma"/>
                <w:b/>
                <w:bCs/>
                <w:sz w:val="22"/>
                <w:lang w:eastAsia="hr-HR"/>
              </w:rPr>
            </w:pPr>
            <w:r w:rsidRPr="00057776">
              <w:rPr>
                <w:rFonts w:ascii="Tahoma" w:hAnsi="Tahoma" w:cs="Tahoma"/>
                <w:b/>
                <w:bCs/>
                <w:sz w:val="22"/>
                <w:lang w:eastAsia="hr-HR"/>
              </w:rPr>
              <w:t xml:space="preserve">Izvršenje </w:t>
            </w:r>
            <w:r w:rsidRPr="00057776">
              <w:rPr>
                <w:rFonts w:ascii="Tahoma" w:hAnsi="Tahoma" w:cs="Tahoma"/>
                <w:b/>
                <w:bCs/>
                <w:sz w:val="22"/>
                <w:lang w:eastAsia="hr-HR"/>
              </w:rPr>
              <w:br/>
              <w:t>202</w:t>
            </w:r>
            <w:r w:rsidR="00624DE6" w:rsidRPr="00057776">
              <w:rPr>
                <w:rFonts w:ascii="Tahoma" w:hAnsi="Tahoma" w:cs="Tahoma"/>
                <w:b/>
                <w:bCs/>
                <w:sz w:val="22"/>
                <w:lang w:eastAsia="hr-HR"/>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D5EF7" w:rsidRPr="00057776" w:rsidRDefault="001D5EF7" w:rsidP="00222CA9">
            <w:pPr>
              <w:jc w:val="center"/>
              <w:rPr>
                <w:rFonts w:ascii="Tahoma" w:hAnsi="Tahoma" w:cs="Tahoma"/>
                <w:b/>
                <w:bCs/>
                <w:sz w:val="22"/>
                <w:lang w:eastAsia="hr-HR"/>
              </w:rPr>
            </w:pPr>
            <w:r w:rsidRPr="00057776">
              <w:rPr>
                <w:rFonts w:ascii="Tahoma" w:hAnsi="Tahoma" w:cs="Tahoma"/>
                <w:b/>
                <w:bCs/>
                <w:sz w:val="22"/>
                <w:lang w:eastAsia="hr-HR"/>
              </w:rPr>
              <w:t xml:space="preserve">Izvršenje </w:t>
            </w:r>
            <w:r w:rsidRPr="00057776">
              <w:rPr>
                <w:rFonts w:ascii="Tahoma" w:hAnsi="Tahoma" w:cs="Tahoma"/>
                <w:b/>
                <w:bCs/>
                <w:sz w:val="22"/>
                <w:lang w:eastAsia="hr-HR"/>
              </w:rPr>
              <w:br/>
              <w:t>202</w:t>
            </w:r>
            <w:r w:rsidR="00624DE6" w:rsidRPr="00057776">
              <w:rPr>
                <w:rFonts w:ascii="Tahoma" w:hAnsi="Tahoma" w:cs="Tahoma"/>
                <w:b/>
                <w:bCs/>
                <w:sz w:val="22"/>
                <w:lang w:eastAsia="hr-HR"/>
              </w:rPr>
              <w:t>4</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D5EF7" w:rsidRPr="00057776" w:rsidRDefault="001D5EF7" w:rsidP="00222CA9">
            <w:pPr>
              <w:jc w:val="center"/>
              <w:rPr>
                <w:rFonts w:ascii="Tahoma" w:hAnsi="Tahoma" w:cs="Tahoma"/>
                <w:b/>
                <w:bCs/>
                <w:sz w:val="22"/>
                <w:lang w:eastAsia="hr-HR"/>
              </w:rPr>
            </w:pPr>
            <w:r w:rsidRPr="00057776">
              <w:rPr>
                <w:rFonts w:ascii="Tahoma" w:hAnsi="Tahoma" w:cs="Tahoma"/>
                <w:b/>
                <w:bCs/>
                <w:sz w:val="22"/>
                <w:lang w:eastAsia="hr-HR"/>
              </w:rPr>
              <w:t>Indeks</w:t>
            </w:r>
            <w:r w:rsidRPr="00057776">
              <w:rPr>
                <w:rFonts w:ascii="Tahoma" w:hAnsi="Tahoma" w:cs="Tahoma"/>
                <w:b/>
                <w:bCs/>
                <w:sz w:val="22"/>
                <w:lang w:eastAsia="hr-HR"/>
              </w:rPr>
              <w:br/>
              <w:t>202</w:t>
            </w:r>
            <w:r w:rsidR="00624DE6" w:rsidRPr="00057776">
              <w:rPr>
                <w:rFonts w:ascii="Tahoma" w:hAnsi="Tahoma" w:cs="Tahoma"/>
                <w:b/>
                <w:bCs/>
                <w:sz w:val="22"/>
                <w:lang w:eastAsia="hr-HR"/>
              </w:rPr>
              <w:t>4</w:t>
            </w:r>
            <w:r w:rsidRPr="00057776">
              <w:rPr>
                <w:rFonts w:ascii="Tahoma" w:hAnsi="Tahoma" w:cs="Tahoma"/>
                <w:b/>
                <w:bCs/>
                <w:sz w:val="22"/>
                <w:lang w:eastAsia="hr-HR"/>
              </w:rPr>
              <w:t>/202</w:t>
            </w:r>
            <w:r w:rsidR="00624DE6" w:rsidRPr="00057776">
              <w:rPr>
                <w:rFonts w:ascii="Tahoma" w:hAnsi="Tahoma" w:cs="Tahoma"/>
                <w:b/>
                <w:bCs/>
                <w:sz w:val="22"/>
                <w:lang w:eastAsia="hr-HR"/>
              </w:rPr>
              <w:t>3</w:t>
            </w:r>
          </w:p>
        </w:tc>
      </w:tr>
      <w:tr w:rsidR="001D5EF7" w:rsidRPr="00057776" w:rsidTr="00222CA9">
        <w:trPr>
          <w:trHeight w:val="285"/>
        </w:trPr>
        <w:tc>
          <w:tcPr>
            <w:tcW w:w="2596" w:type="dxa"/>
            <w:vMerge/>
            <w:tcBorders>
              <w:top w:val="single" w:sz="4" w:space="0" w:color="auto"/>
              <w:left w:val="single" w:sz="4" w:space="0" w:color="auto"/>
              <w:bottom w:val="single" w:sz="4" w:space="0" w:color="000000"/>
              <w:right w:val="single" w:sz="4" w:space="0" w:color="auto"/>
            </w:tcBorders>
            <w:vAlign w:val="center"/>
            <w:hideMark/>
          </w:tcPr>
          <w:p w:rsidR="001D5EF7" w:rsidRPr="00057776" w:rsidRDefault="001D5EF7" w:rsidP="00222CA9">
            <w:pPr>
              <w:rPr>
                <w:rFonts w:ascii="Tahoma" w:hAnsi="Tahoma" w:cs="Tahoma"/>
                <w:b/>
                <w:bCs/>
                <w:lang w:eastAsia="hr-HR"/>
              </w:rPr>
            </w:pPr>
          </w:p>
        </w:tc>
        <w:tc>
          <w:tcPr>
            <w:tcW w:w="2126" w:type="dxa"/>
            <w:tcBorders>
              <w:top w:val="nil"/>
              <w:left w:val="nil"/>
              <w:bottom w:val="single" w:sz="4" w:space="0" w:color="auto"/>
              <w:right w:val="single" w:sz="4" w:space="0" w:color="auto"/>
            </w:tcBorders>
            <w:shd w:val="clear" w:color="auto" w:fill="auto"/>
            <w:vAlign w:val="bottom"/>
            <w:hideMark/>
          </w:tcPr>
          <w:p w:rsidR="001D5EF7" w:rsidRPr="00057776" w:rsidRDefault="009E24BC" w:rsidP="00222CA9">
            <w:pPr>
              <w:jc w:val="right"/>
              <w:rPr>
                <w:rFonts w:ascii="Tahoma" w:hAnsi="Tahoma" w:cs="Tahoma"/>
                <w:sz w:val="22"/>
                <w:lang w:eastAsia="hr-HR"/>
              </w:rPr>
            </w:pPr>
            <w:r w:rsidRPr="00057776">
              <w:rPr>
                <w:rFonts w:ascii="Tahoma" w:hAnsi="Tahoma" w:cs="Tahoma"/>
                <w:sz w:val="22"/>
                <w:lang w:eastAsia="hr-HR"/>
              </w:rPr>
              <w:t>4.515.544</w:t>
            </w:r>
          </w:p>
        </w:tc>
        <w:tc>
          <w:tcPr>
            <w:tcW w:w="1843" w:type="dxa"/>
            <w:tcBorders>
              <w:top w:val="nil"/>
              <w:left w:val="nil"/>
              <w:bottom w:val="single" w:sz="4" w:space="0" w:color="auto"/>
              <w:right w:val="single" w:sz="4" w:space="0" w:color="auto"/>
            </w:tcBorders>
            <w:shd w:val="clear" w:color="auto" w:fill="auto"/>
            <w:vAlign w:val="bottom"/>
            <w:hideMark/>
          </w:tcPr>
          <w:p w:rsidR="001D5EF7" w:rsidRPr="00057776" w:rsidRDefault="009E24BC" w:rsidP="00222CA9">
            <w:pPr>
              <w:jc w:val="right"/>
              <w:rPr>
                <w:rFonts w:ascii="Tahoma" w:hAnsi="Tahoma" w:cs="Tahoma"/>
                <w:sz w:val="22"/>
                <w:lang w:eastAsia="hr-HR"/>
              </w:rPr>
            </w:pPr>
            <w:r w:rsidRPr="00057776">
              <w:rPr>
                <w:rFonts w:ascii="Tahoma" w:hAnsi="Tahoma" w:cs="Tahoma"/>
                <w:sz w:val="22"/>
                <w:lang w:eastAsia="hr-HR"/>
              </w:rPr>
              <w:t>4.810.249</w:t>
            </w:r>
          </w:p>
        </w:tc>
        <w:tc>
          <w:tcPr>
            <w:tcW w:w="2268" w:type="dxa"/>
            <w:tcBorders>
              <w:top w:val="nil"/>
              <w:left w:val="nil"/>
              <w:bottom w:val="single" w:sz="4" w:space="0" w:color="auto"/>
              <w:right w:val="single" w:sz="4" w:space="0" w:color="auto"/>
            </w:tcBorders>
            <w:shd w:val="clear" w:color="auto" w:fill="auto"/>
            <w:vAlign w:val="bottom"/>
            <w:hideMark/>
          </w:tcPr>
          <w:p w:rsidR="001D5EF7" w:rsidRPr="00057776" w:rsidRDefault="009E24BC" w:rsidP="00222CA9">
            <w:pPr>
              <w:jc w:val="right"/>
              <w:rPr>
                <w:rFonts w:ascii="Tahoma" w:hAnsi="Tahoma" w:cs="Tahoma"/>
                <w:sz w:val="22"/>
                <w:lang w:eastAsia="hr-HR"/>
              </w:rPr>
            </w:pPr>
            <w:r w:rsidRPr="00057776">
              <w:rPr>
                <w:rFonts w:ascii="Tahoma" w:hAnsi="Tahoma" w:cs="Tahoma"/>
                <w:sz w:val="22"/>
                <w:lang w:eastAsia="hr-HR"/>
              </w:rPr>
              <w:t>1</w:t>
            </w:r>
            <w:r w:rsidR="001D5EF7" w:rsidRPr="00057776">
              <w:rPr>
                <w:rFonts w:ascii="Tahoma" w:hAnsi="Tahoma" w:cs="Tahoma"/>
                <w:sz w:val="22"/>
                <w:lang w:eastAsia="hr-HR"/>
              </w:rPr>
              <w:t>,</w:t>
            </w:r>
            <w:r w:rsidRPr="00057776">
              <w:rPr>
                <w:rFonts w:ascii="Tahoma" w:hAnsi="Tahoma" w:cs="Tahoma"/>
                <w:sz w:val="22"/>
                <w:lang w:eastAsia="hr-HR"/>
              </w:rPr>
              <w:t>07</w:t>
            </w:r>
          </w:p>
        </w:tc>
      </w:tr>
    </w:tbl>
    <w:p w:rsidR="001D5EF7" w:rsidRPr="00057776" w:rsidRDefault="001D5EF7" w:rsidP="001D5EF7">
      <w:pPr>
        <w:spacing w:after="160"/>
        <w:jc w:val="both"/>
        <w:rPr>
          <w:rFonts w:ascii="Tahoma" w:hAnsi="Tahoma" w:cs="Tahoma"/>
          <w:b/>
        </w:rPr>
      </w:pPr>
    </w:p>
    <w:p w:rsidR="00947B47" w:rsidRDefault="00624DE6" w:rsidP="006211CB">
      <w:pPr>
        <w:jc w:val="both"/>
        <w:rPr>
          <w:rFonts w:ascii="Tahoma" w:hAnsi="Tahoma" w:cs="Tahoma"/>
          <w:sz w:val="22"/>
          <w:szCs w:val="22"/>
        </w:rPr>
      </w:pPr>
      <w:r w:rsidRPr="00057776">
        <w:rPr>
          <w:rFonts w:ascii="Tahoma" w:hAnsi="Tahoma" w:cs="Tahoma"/>
          <w:sz w:val="22"/>
          <w:szCs w:val="22"/>
        </w:rPr>
        <w:t xml:space="preserve">U razdoblju od 1. siječnja do 31. prosinca 2024. godine </w:t>
      </w:r>
      <w:r w:rsidR="001F65C8">
        <w:rPr>
          <w:rFonts w:ascii="Tahoma" w:hAnsi="Tahoma" w:cs="Tahoma"/>
          <w:sz w:val="22"/>
          <w:szCs w:val="22"/>
        </w:rPr>
        <w:t>rashodi</w:t>
      </w:r>
      <w:r w:rsidR="001D5EF7" w:rsidRPr="00057776">
        <w:rPr>
          <w:rFonts w:ascii="Tahoma" w:hAnsi="Tahoma" w:cs="Tahoma"/>
          <w:sz w:val="22"/>
          <w:szCs w:val="22"/>
        </w:rPr>
        <w:t xml:space="preserve"> za utrošenu energiju </w:t>
      </w:r>
      <w:r w:rsidRPr="00057776">
        <w:rPr>
          <w:rFonts w:ascii="Tahoma" w:hAnsi="Tahoma" w:cs="Tahoma"/>
          <w:sz w:val="22"/>
          <w:szCs w:val="22"/>
        </w:rPr>
        <w:t>povećali</w:t>
      </w:r>
      <w:r w:rsidR="009E24BC" w:rsidRPr="00057776">
        <w:rPr>
          <w:rFonts w:ascii="Tahoma" w:hAnsi="Tahoma" w:cs="Tahoma"/>
          <w:sz w:val="22"/>
          <w:szCs w:val="22"/>
        </w:rPr>
        <w:t xml:space="preserve"> su za 6,5</w:t>
      </w:r>
      <w:r w:rsidR="001D5EF7" w:rsidRPr="00057776">
        <w:rPr>
          <w:rFonts w:ascii="Tahoma" w:hAnsi="Tahoma" w:cs="Tahoma"/>
          <w:sz w:val="22"/>
          <w:szCs w:val="22"/>
        </w:rPr>
        <w:t>% u odnosu na</w:t>
      </w:r>
      <w:r w:rsidR="009E24BC" w:rsidRPr="00057776">
        <w:rPr>
          <w:rFonts w:ascii="Tahoma" w:hAnsi="Tahoma" w:cs="Tahoma"/>
          <w:sz w:val="22"/>
          <w:szCs w:val="22"/>
        </w:rPr>
        <w:t xml:space="preserve"> isto razdoblje prethodne godine</w:t>
      </w:r>
      <w:r w:rsidR="001D5EF7" w:rsidRPr="00057776">
        <w:rPr>
          <w:rFonts w:ascii="Tahoma" w:hAnsi="Tahoma" w:cs="Tahoma"/>
          <w:sz w:val="22"/>
          <w:szCs w:val="22"/>
        </w:rPr>
        <w:t>. U utrošenu energiju spadaju troškovi električne energije, tehnološke pare, trošak plina i goriva.</w:t>
      </w:r>
      <w:r w:rsidR="00460055" w:rsidRPr="00057776">
        <w:rPr>
          <w:rFonts w:ascii="Tahoma" w:hAnsi="Tahoma" w:cs="Tahoma"/>
          <w:sz w:val="22"/>
          <w:szCs w:val="22"/>
        </w:rPr>
        <w:t xml:space="preserve"> Najveće povećanje izdataka bilježe električna energija i tehnološka para</w:t>
      </w:r>
      <w:r w:rsidR="000B48E5" w:rsidRPr="00057776">
        <w:rPr>
          <w:rFonts w:ascii="Tahoma" w:hAnsi="Tahoma" w:cs="Tahoma"/>
          <w:sz w:val="22"/>
          <w:szCs w:val="22"/>
        </w:rPr>
        <w:t>.</w:t>
      </w:r>
    </w:p>
    <w:p w:rsidR="00B33785" w:rsidRPr="002A66DF" w:rsidRDefault="00B33785" w:rsidP="006211CB">
      <w:pPr>
        <w:jc w:val="both"/>
        <w:rPr>
          <w:rFonts w:ascii="Tahoma" w:hAnsi="Tahoma" w:cs="Tahoma"/>
          <w:sz w:val="22"/>
          <w:szCs w:val="22"/>
        </w:rPr>
      </w:pPr>
    </w:p>
    <w:p w:rsidR="00B33785" w:rsidRPr="002A66DF" w:rsidRDefault="00B33785" w:rsidP="006211CB">
      <w:pPr>
        <w:jc w:val="both"/>
        <w:rPr>
          <w:rFonts w:ascii="Tahoma" w:hAnsi="Tahoma" w:cs="Tahoma"/>
          <w:b/>
          <w:sz w:val="22"/>
          <w:szCs w:val="22"/>
        </w:rPr>
      </w:pPr>
    </w:p>
    <w:p w:rsidR="001D5EF7" w:rsidRPr="00057776" w:rsidRDefault="001D5EF7" w:rsidP="001D5EF7">
      <w:pPr>
        <w:pStyle w:val="ListParagraph"/>
        <w:numPr>
          <w:ilvl w:val="0"/>
          <w:numId w:val="6"/>
        </w:numPr>
        <w:jc w:val="both"/>
        <w:rPr>
          <w:rFonts w:ascii="Tahoma" w:hAnsi="Tahoma" w:cs="Tahoma"/>
          <w:b/>
          <w:sz w:val="22"/>
          <w:szCs w:val="22"/>
        </w:rPr>
      </w:pPr>
      <w:r w:rsidRPr="002A66DF">
        <w:rPr>
          <w:rFonts w:ascii="Tahoma" w:hAnsi="Tahoma" w:cs="Tahoma"/>
          <w:b/>
          <w:sz w:val="22"/>
          <w:szCs w:val="22"/>
        </w:rPr>
        <w:t>Usluge tekućeg i investicijskog održavanja</w:t>
      </w:r>
      <w:r w:rsidR="007A1281" w:rsidRPr="002A66DF">
        <w:rPr>
          <w:rFonts w:ascii="Tahoma" w:hAnsi="Tahoma" w:cs="Tahoma"/>
          <w:b/>
          <w:sz w:val="22"/>
          <w:szCs w:val="22"/>
        </w:rPr>
        <w:t xml:space="preserve"> (</w:t>
      </w:r>
      <w:r w:rsidR="007A1281" w:rsidRPr="00057776">
        <w:rPr>
          <w:rFonts w:ascii="Tahoma" w:hAnsi="Tahoma" w:cs="Tahoma"/>
          <w:b/>
          <w:sz w:val="22"/>
          <w:szCs w:val="22"/>
        </w:rPr>
        <w:t>Šifra 3232)</w:t>
      </w:r>
    </w:p>
    <w:p w:rsidR="001D5EF7" w:rsidRPr="00057776" w:rsidRDefault="001D5EF7" w:rsidP="001D5EF7">
      <w:pPr>
        <w:pStyle w:val="ListParagraph"/>
        <w:jc w:val="both"/>
        <w:rPr>
          <w:rFonts w:ascii="Tahoma" w:hAnsi="Tahoma" w:cs="Tahoma"/>
          <w:sz w:val="22"/>
          <w:szCs w:val="22"/>
        </w:rPr>
      </w:pPr>
    </w:p>
    <w:tbl>
      <w:tblPr>
        <w:tblW w:w="9214" w:type="dxa"/>
        <w:tblInd w:w="-5" w:type="dxa"/>
        <w:tblLook w:val="04A0" w:firstRow="1" w:lastRow="0" w:firstColumn="1" w:lastColumn="0" w:noHBand="0" w:noVBand="1"/>
      </w:tblPr>
      <w:tblGrid>
        <w:gridCol w:w="2947"/>
        <w:gridCol w:w="2156"/>
        <w:gridCol w:w="1985"/>
        <w:gridCol w:w="2126"/>
      </w:tblGrid>
      <w:tr w:rsidR="001D5EF7" w:rsidRPr="00057776" w:rsidTr="00222CA9">
        <w:trPr>
          <w:trHeight w:val="570"/>
        </w:trPr>
        <w:tc>
          <w:tcPr>
            <w:tcW w:w="2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EF7" w:rsidRPr="00057776" w:rsidRDefault="0026075A" w:rsidP="0026075A">
            <w:pPr>
              <w:jc w:val="center"/>
              <w:rPr>
                <w:rFonts w:ascii="Tahoma" w:hAnsi="Tahoma" w:cs="Tahoma"/>
                <w:b/>
                <w:bCs/>
                <w:sz w:val="22"/>
                <w:szCs w:val="22"/>
                <w:lang w:eastAsia="hr-HR"/>
              </w:rPr>
            </w:pPr>
            <w:r w:rsidRPr="00057776">
              <w:rPr>
                <w:rFonts w:ascii="Tahoma" w:hAnsi="Tahoma" w:cs="Tahoma"/>
                <w:b/>
                <w:bCs/>
                <w:sz w:val="20"/>
                <w:szCs w:val="22"/>
                <w:lang w:eastAsia="hr-HR"/>
              </w:rPr>
              <w:t>Usluge tekućeg i investicijskog održavanja</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1D5EF7" w:rsidRPr="00057776" w:rsidRDefault="001D5EF7" w:rsidP="00222CA9">
            <w:pPr>
              <w:jc w:val="center"/>
              <w:rPr>
                <w:rFonts w:ascii="Tahoma" w:hAnsi="Tahoma" w:cs="Tahoma"/>
                <w:b/>
                <w:bCs/>
                <w:sz w:val="22"/>
                <w:szCs w:val="22"/>
                <w:lang w:eastAsia="hr-HR"/>
              </w:rPr>
            </w:pPr>
            <w:r w:rsidRPr="00057776">
              <w:rPr>
                <w:rFonts w:ascii="Tahoma" w:hAnsi="Tahoma" w:cs="Tahoma"/>
                <w:b/>
                <w:bCs/>
                <w:sz w:val="22"/>
                <w:szCs w:val="22"/>
                <w:lang w:eastAsia="hr-HR"/>
              </w:rPr>
              <w:t xml:space="preserve">Izvršenje </w:t>
            </w:r>
            <w:r w:rsidRPr="00057776">
              <w:rPr>
                <w:rFonts w:ascii="Tahoma" w:hAnsi="Tahoma" w:cs="Tahoma"/>
                <w:b/>
                <w:bCs/>
                <w:sz w:val="22"/>
                <w:szCs w:val="22"/>
                <w:lang w:eastAsia="hr-HR"/>
              </w:rPr>
              <w:br/>
              <w:t>202</w:t>
            </w:r>
            <w:r w:rsidR="00BF7F30" w:rsidRPr="00057776">
              <w:rPr>
                <w:rFonts w:ascii="Tahoma" w:hAnsi="Tahoma" w:cs="Tahoma"/>
                <w:b/>
                <w:bCs/>
                <w:sz w:val="22"/>
                <w:szCs w:val="22"/>
                <w:lang w:eastAsia="hr-HR"/>
              </w:rPr>
              <w:t>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6075A" w:rsidRPr="00057776" w:rsidRDefault="001D5EF7" w:rsidP="0026075A">
            <w:pPr>
              <w:jc w:val="center"/>
              <w:rPr>
                <w:rFonts w:ascii="Tahoma" w:hAnsi="Tahoma" w:cs="Tahoma"/>
                <w:b/>
                <w:bCs/>
                <w:sz w:val="22"/>
                <w:szCs w:val="22"/>
                <w:lang w:eastAsia="hr-HR"/>
              </w:rPr>
            </w:pPr>
            <w:r w:rsidRPr="00057776">
              <w:rPr>
                <w:rFonts w:ascii="Tahoma" w:hAnsi="Tahoma" w:cs="Tahoma"/>
                <w:b/>
                <w:bCs/>
                <w:sz w:val="22"/>
                <w:szCs w:val="22"/>
                <w:lang w:eastAsia="hr-HR"/>
              </w:rPr>
              <w:t xml:space="preserve">Izvršenje </w:t>
            </w:r>
            <w:r w:rsidRPr="00057776">
              <w:rPr>
                <w:rFonts w:ascii="Tahoma" w:hAnsi="Tahoma" w:cs="Tahoma"/>
                <w:b/>
                <w:bCs/>
                <w:sz w:val="22"/>
                <w:szCs w:val="22"/>
                <w:lang w:eastAsia="hr-HR"/>
              </w:rPr>
              <w:br/>
              <w:t>202</w:t>
            </w:r>
            <w:r w:rsidR="00BF7F30" w:rsidRPr="00057776">
              <w:rPr>
                <w:rFonts w:ascii="Tahoma" w:hAnsi="Tahoma" w:cs="Tahoma"/>
                <w:b/>
                <w:bCs/>
                <w:sz w:val="22"/>
                <w:szCs w:val="22"/>
                <w:lang w:eastAsia="hr-HR"/>
              </w:rPr>
              <w:t>4</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D5EF7" w:rsidRPr="00057776" w:rsidRDefault="001D5EF7" w:rsidP="0026075A">
            <w:pPr>
              <w:jc w:val="center"/>
              <w:rPr>
                <w:rFonts w:ascii="Tahoma" w:hAnsi="Tahoma" w:cs="Tahoma"/>
                <w:b/>
                <w:bCs/>
                <w:sz w:val="22"/>
                <w:szCs w:val="22"/>
                <w:lang w:eastAsia="hr-HR"/>
              </w:rPr>
            </w:pPr>
            <w:r w:rsidRPr="00057776">
              <w:rPr>
                <w:rFonts w:ascii="Tahoma" w:hAnsi="Tahoma" w:cs="Tahoma"/>
                <w:b/>
                <w:bCs/>
                <w:sz w:val="22"/>
                <w:szCs w:val="22"/>
                <w:lang w:eastAsia="hr-HR"/>
              </w:rPr>
              <w:t>Indeks</w:t>
            </w:r>
            <w:r w:rsidRPr="00057776">
              <w:rPr>
                <w:rFonts w:ascii="Tahoma" w:hAnsi="Tahoma" w:cs="Tahoma"/>
                <w:b/>
                <w:bCs/>
                <w:sz w:val="22"/>
                <w:szCs w:val="22"/>
                <w:lang w:eastAsia="hr-HR"/>
              </w:rPr>
              <w:br/>
              <w:t>202</w:t>
            </w:r>
            <w:r w:rsidR="0022296B" w:rsidRPr="00057776">
              <w:rPr>
                <w:rFonts w:ascii="Tahoma" w:hAnsi="Tahoma" w:cs="Tahoma"/>
                <w:b/>
                <w:bCs/>
                <w:sz w:val="22"/>
                <w:szCs w:val="22"/>
                <w:lang w:eastAsia="hr-HR"/>
              </w:rPr>
              <w:t>4</w:t>
            </w:r>
            <w:r w:rsidRPr="00057776">
              <w:rPr>
                <w:rFonts w:ascii="Tahoma" w:hAnsi="Tahoma" w:cs="Tahoma"/>
                <w:b/>
                <w:bCs/>
                <w:sz w:val="22"/>
                <w:szCs w:val="22"/>
                <w:lang w:eastAsia="hr-HR"/>
              </w:rPr>
              <w:t>/202</w:t>
            </w:r>
            <w:r w:rsidR="0022296B" w:rsidRPr="00057776">
              <w:rPr>
                <w:rFonts w:ascii="Tahoma" w:hAnsi="Tahoma" w:cs="Tahoma"/>
                <w:b/>
                <w:bCs/>
                <w:sz w:val="22"/>
                <w:szCs w:val="22"/>
                <w:lang w:eastAsia="hr-HR"/>
              </w:rPr>
              <w:t>3</w:t>
            </w:r>
          </w:p>
        </w:tc>
      </w:tr>
      <w:tr w:rsidR="001D5EF7" w:rsidRPr="00057776" w:rsidTr="00222CA9">
        <w:trPr>
          <w:trHeight w:val="285"/>
        </w:trPr>
        <w:tc>
          <w:tcPr>
            <w:tcW w:w="2947" w:type="dxa"/>
            <w:vMerge/>
            <w:tcBorders>
              <w:top w:val="single" w:sz="4" w:space="0" w:color="auto"/>
              <w:left w:val="single" w:sz="4" w:space="0" w:color="auto"/>
              <w:bottom w:val="single" w:sz="4" w:space="0" w:color="000000"/>
              <w:right w:val="single" w:sz="4" w:space="0" w:color="auto"/>
            </w:tcBorders>
            <w:vAlign w:val="center"/>
            <w:hideMark/>
          </w:tcPr>
          <w:p w:rsidR="001D5EF7" w:rsidRPr="00057776" w:rsidRDefault="001D5EF7" w:rsidP="00222CA9">
            <w:pPr>
              <w:rPr>
                <w:rFonts w:ascii="Tahoma" w:hAnsi="Tahoma" w:cs="Tahoma"/>
                <w:b/>
                <w:bCs/>
                <w:sz w:val="22"/>
                <w:szCs w:val="22"/>
                <w:lang w:eastAsia="hr-HR"/>
              </w:rPr>
            </w:pPr>
          </w:p>
        </w:tc>
        <w:tc>
          <w:tcPr>
            <w:tcW w:w="2156" w:type="dxa"/>
            <w:tcBorders>
              <w:top w:val="nil"/>
              <w:left w:val="nil"/>
              <w:bottom w:val="single" w:sz="4" w:space="0" w:color="auto"/>
              <w:right w:val="single" w:sz="4" w:space="0" w:color="auto"/>
            </w:tcBorders>
            <w:shd w:val="clear" w:color="auto" w:fill="auto"/>
            <w:vAlign w:val="bottom"/>
            <w:hideMark/>
          </w:tcPr>
          <w:p w:rsidR="001D5EF7" w:rsidRPr="00057776" w:rsidRDefault="00BF7F30" w:rsidP="00222CA9">
            <w:pPr>
              <w:jc w:val="right"/>
              <w:rPr>
                <w:rFonts w:ascii="Tahoma" w:hAnsi="Tahoma" w:cs="Tahoma"/>
                <w:sz w:val="22"/>
                <w:szCs w:val="22"/>
                <w:lang w:eastAsia="hr-HR"/>
              </w:rPr>
            </w:pPr>
            <w:r w:rsidRPr="00057776">
              <w:rPr>
                <w:rFonts w:ascii="Tahoma" w:hAnsi="Tahoma" w:cs="Tahoma"/>
                <w:sz w:val="22"/>
                <w:szCs w:val="22"/>
                <w:lang w:eastAsia="hr-HR"/>
              </w:rPr>
              <w:t>11.226.593</w:t>
            </w:r>
          </w:p>
        </w:tc>
        <w:tc>
          <w:tcPr>
            <w:tcW w:w="1985" w:type="dxa"/>
            <w:tcBorders>
              <w:top w:val="nil"/>
              <w:left w:val="nil"/>
              <w:bottom w:val="single" w:sz="4" w:space="0" w:color="auto"/>
              <w:right w:val="single" w:sz="4" w:space="0" w:color="auto"/>
            </w:tcBorders>
            <w:shd w:val="clear" w:color="auto" w:fill="auto"/>
            <w:vAlign w:val="bottom"/>
            <w:hideMark/>
          </w:tcPr>
          <w:p w:rsidR="001D5EF7" w:rsidRPr="00057776" w:rsidRDefault="00BF7F30" w:rsidP="00222CA9">
            <w:pPr>
              <w:jc w:val="right"/>
              <w:rPr>
                <w:rFonts w:ascii="Tahoma" w:hAnsi="Tahoma" w:cs="Tahoma"/>
                <w:sz w:val="22"/>
                <w:szCs w:val="22"/>
                <w:lang w:eastAsia="hr-HR"/>
              </w:rPr>
            </w:pPr>
            <w:r w:rsidRPr="00057776">
              <w:rPr>
                <w:rFonts w:ascii="Tahoma" w:hAnsi="Tahoma" w:cs="Tahoma"/>
                <w:sz w:val="22"/>
                <w:szCs w:val="22"/>
                <w:lang w:eastAsia="hr-HR"/>
              </w:rPr>
              <w:t>13.588.772</w:t>
            </w:r>
          </w:p>
        </w:tc>
        <w:tc>
          <w:tcPr>
            <w:tcW w:w="2126" w:type="dxa"/>
            <w:tcBorders>
              <w:top w:val="nil"/>
              <w:left w:val="nil"/>
              <w:bottom w:val="single" w:sz="4" w:space="0" w:color="auto"/>
              <w:right w:val="single" w:sz="4" w:space="0" w:color="auto"/>
            </w:tcBorders>
            <w:shd w:val="clear" w:color="auto" w:fill="auto"/>
            <w:vAlign w:val="bottom"/>
            <w:hideMark/>
          </w:tcPr>
          <w:p w:rsidR="001D5EF7" w:rsidRPr="00057776" w:rsidRDefault="00BF7F30" w:rsidP="00222CA9">
            <w:pPr>
              <w:jc w:val="right"/>
              <w:rPr>
                <w:rFonts w:ascii="Tahoma" w:hAnsi="Tahoma" w:cs="Tahoma"/>
                <w:sz w:val="22"/>
                <w:szCs w:val="22"/>
                <w:lang w:eastAsia="hr-HR"/>
              </w:rPr>
            </w:pPr>
            <w:r w:rsidRPr="00057776">
              <w:rPr>
                <w:rFonts w:ascii="Tahoma" w:hAnsi="Tahoma" w:cs="Tahoma"/>
                <w:sz w:val="22"/>
                <w:szCs w:val="22"/>
                <w:lang w:eastAsia="hr-HR"/>
              </w:rPr>
              <w:t>1,21</w:t>
            </w:r>
          </w:p>
        </w:tc>
      </w:tr>
    </w:tbl>
    <w:p w:rsidR="001D5EF7" w:rsidRPr="00057776" w:rsidRDefault="001D5EF7" w:rsidP="001D5EF7">
      <w:pPr>
        <w:jc w:val="both"/>
        <w:rPr>
          <w:rFonts w:ascii="Tahoma" w:hAnsi="Tahoma" w:cs="Tahoma"/>
          <w:b/>
          <w:sz w:val="22"/>
          <w:szCs w:val="22"/>
        </w:rPr>
      </w:pPr>
    </w:p>
    <w:p w:rsidR="001D5EF7" w:rsidRPr="002A66DF" w:rsidRDefault="001D5EF7" w:rsidP="001D5EF7">
      <w:pPr>
        <w:jc w:val="both"/>
        <w:rPr>
          <w:rFonts w:ascii="Tahoma" w:hAnsi="Tahoma" w:cs="Tahoma"/>
          <w:sz w:val="22"/>
          <w:szCs w:val="22"/>
        </w:rPr>
      </w:pPr>
      <w:r w:rsidRPr="00057776">
        <w:rPr>
          <w:rFonts w:ascii="Tahoma" w:hAnsi="Tahoma" w:cs="Tahoma"/>
          <w:sz w:val="22"/>
          <w:szCs w:val="22"/>
        </w:rPr>
        <w:lastRenderedPageBreak/>
        <w:t xml:space="preserve">U </w:t>
      </w:r>
      <w:r w:rsidR="00BF7F30" w:rsidRPr="00057776">
        <w:rPr>
          <w:rFonts w:ascii="Tahoma" w:hAnsi="Tahoma" w:cs="Tahoma"/>
          <w:sz w:val="22"/>
          <w:szCs w:val="22"/>
        </w:rPr>
        <w:t>razdoblju od 1. siječnja do 31. prosinca 2024. godine</w:t>
      </w:r>
      <w:r w:rsidRPr="00057776">
        <w:rPr>
          <w:rFonts w:ascii="Tahoma" w:hAnsi="Tahoma" w:cs="Tahoma"/>
          <w:sz w:val="22"/>
          <w:szCs w:val="22"/>
        </w:rPr>
        <w:t xml:space="preserve"> </w:t>
      </w:r>
      <w:r w:rsidR="001F65C8">
        <w:rPr>
          <w:rFonts w:ascii="Tahoma" w:hAnsi="Tahoma" w:cs="Tahoma"/>
          <w:sz w:val="22"/>
          <w:szCs w:val="22"/>
        </w:rPr>
        <w:t xml:space="preserve">rashodi </w:t>
      </w:r>
      <w:r w:rsidRPr="00057776">
        <w:rPr>
          <w:rFonts w:ascii="Tahoma" w:hAnsi="Tahoma" w:cs="Tahoma"/>
          <w:sz w:val="22"/>
          <w:szCs w:val="22"/>
        </w:rPr>
        <w:t xml:space="preserve">za </w:t>
      </w:r>
      <w:r w:rsidR="0026075A" w:rsidRPr="00057776">
        <w:rPr>
          <w:rFonts w:ascii="Tahoma" w:hAnsi="Tahoma" w:cs="Tahoma"/>
          <w:sz w:val="22"/>
          <w:szCs w:val="22"/>
        </w:rPr>
        <w:t xml:space="preserve">usluge </w:t>
      </w:r>
      <w:r w:rsidRPr="00057776">
        <w:rPr>
          <w:rFonts w:ascii="Tahoma" w:hAnsi="Tahoma" w:cs="Tahoma"/>
          <w:sz w:val="22"/>
          <w:szCs w:val="22"/>
        </w:rPr>
        <w:t>tekuće</w:t>
      </w:r>
      <w:r w:rsidR="0026075A" w:rsidRPr="00057776">
        <w:rPr>
          <w:rFonts w:ascii="Tahoma" w:hAnsi="Tahoma" w:cs="Tahoma"/>
          <w:sz w:val="22"/>
          <w:szCs w:val="22"/>
        </w:rPr>
        <w:t>g</w:t>
      </w:r>
      <w:r w:rsidRPr="00057776">
        <w:rPr>
          <w:rFonts w:ascii="Tahoma" w:hAnsi="Tahoma" w:cs="Tahoma"/>
          <w:sz w:val="22"/>
          <w:szCs w:val="22"/>
        </w:rPr>
        <w:t xml:space="preserve"> i investicijsko</w:t>
      </w:r>
      <w:r w:rsidR="0026075A" w:rsidRPr="00057776">
        <w:rPr>
          <w:rFonts w:ascii="Tahoma" w:hAnsi="Tahoma" w:cs="Tahoma"/>
          <w:sz w:val="22"/>
          <w:szCs w:val="22"/>
        </w:rPr>
        <w:t>g</w:t>
      </w:r>
      <w:r w:rsidRPr="00057776">
        <w:rPr>
          <w:rFonts w:ascii="Tahoma" w:hAnsi="Tahoma" w:cs="Tahoma"/>
          <w:sz w:val="22"/>
          <w:szCs w:val="22"/>
        </w:rPr>
        <w:t xml:space="preserve"> održavanje povećali su </w:t>
      </w:r>
      <w:r w:rsidR="00BF7F30" w:rsidRPr="00057776">
        <w:rPr>
          <w:rFonts w:ascii="Tahoma" w:hAnsi="Tahoma" w:cs="Tahoma"/>
          <w:sz w:val="22"/>
          <w:szCs w:val="22"/>
        </w:rPr>
        <w:t>se za 21</w:t>
      </w:r>
      <w:r w:rsidRPr="00057776">
        <w:rPr>
          <w:rFonts w:ascii="Tahoma" w:hAnsi="Tahoma" w:cs="Tahoma"/>
          <w:sz w:val="22"/>
          <w:szCs w:val="22"/>
        </w:rPr>
        <w:t>,</w:t>
      </w:r>
      <w:r w:rsidR="00BF7F30" w:rsidRPr="00057776">
        <w:rPr>
          <w:rFonts w:ascii="Tahoma" w:hAnsi="Tahoma" w:cs="Tahoma"/>
          <w:sz w:val="22"/>
          <w:szCs w:val="22"/>
        </w:rPr>
        <w:t>0</w:t>
      </w:r>
      <w:r w:rsidRPr="00057776">
        <w:rPr>
          <w:rFonts w:ascii="Tahoma" w:hAnsi="Tahoma" w:cs="Tahoma"/>
          <w:sz w:val="22"/>
          <w:szCs w:val="22"/>
        </w:rPr>
        <w:t xml:space="preserve">% u odnosu na </w:t>
      </w:r>
      <w:r w:rsidR="00BF7F30" w:rsidRPr="00057776">
        <w:rPr>
          <w:rFonts w:ascii="Tahoma" w:hAnsi="Tahoma" w:cs="Tahoma"/>
          <w:sz w:val="22"/>
          <w:szCs w:val="22"/>
        </w:rPr>
        <w:t>isto razdoblje prethodne godine</w:t>
      </w:r>
      <w:r w:rsidRPr="00057776">
        <w:rPr>
          <w:rFonts w:ascii="Tahoma" w:hAnsi="Tahoma" w:cs="Tahoma"/>
          <w:sz w:val="22"/>
          <w:szCs w:val="22"/>
        </w:rPr>
        <w:t xml:space="preserve">. </w:t>
      </w:r>
      <w:r w:rsidR="001F7E66" w:rsidRPr="00057776">
        <w:rPr>
          <w:rFonts w:ascii="Tahoma" w:hAnsi="Tahoma" w:cs="Tahoma"/>
          <w:sz w:val="22"/>
          <w:szCs w:val="22"/>
        </w:rPr>
        <w:t>Najveće povećanje izdataka bilježi se na uslugama tekućeg i investicijskog održavanja medicinske opreme i postrojenja sukladno sklopljenim ugovorima za mjesečno održavanje opreme</w:t>
      </w:r>
      <w:r w:rsidR="0062706C" w:rsidRPr="00057776">
        <w:rPr>
          <w:rFonts w:ascii="Tahoma" w:hAnsi="Tahoma" w:cs="Tahoma"/>
          <w:sz w:val="22"/>
          <w:szCs w:val="22"/>
        </w:rPr>
        <w:t xml:space="preserve"> </w:t>
      </w:r>
      <w:r w:rsidR="001F7E66" w:rsidRPr="00057776">
        <w:rPr>
          <w:rFonts w:ascii="Tahoma" w:hAnsi="Tahoma" w:cs="Tahoma"/>
          <w:sz w:val="22"/>
          <w:szCs w:val="22"/>
        </w:rPr>
        <w:t>te za planirano premještanje</w:t>
      </w:r>
      <w:r w:rsidR="00B33785" w:rsidRPr="00057776">
        <w:rPr>
          <w:rFonts w:ascii="Tahoma" w:hAnsi="Tahoma" w:cs="Tahoma"/>
          <w:sz w:val="22"/>
          <w:szCs w:val="22"/>
        </w:rPr>
        <w:t xml:space="preserve"> radioloških uređaja uslijed </w:t>
      </w:r>
      <w:r w:rsidR="001F7E66" w:rsidRPr="00057776">
        <w:rPr>
          <w:rFonts w:ascii="Tahoma" w:hAnsi="Tahoma" w:cs="Tahoma"/>
          <w:sz w:val="22"/>
          <w:szCs w:val="22"/>
        </w:rPr>
        <w:t>obnove glavne zgrade KBC-a Zagreb</w:t>
      </w:r>
      <w:r w:rsidR="005D6B01" w:rsidRPr="00057776">
        <w:rPr>
          <w:rFonts w:ascii="Tahoma" w:hAnsi="Tahoma" w:cs="Tahoma"/>
          <w:sz w:val="22"/>
          <w:szCs w:val="22"/>
        </w:rPr>
        <w:t>.</w:t>
      </w:r>
      <w:r w:rsidR="001F7E66" w:rsidRPr="00057776">
        <w:rPr>
          <w:rFonts w:ascii="Tahoma" w:hAnsi="Tahoma" w:cs="Tahoma"/>
          <w:sz w:val="22"/>
          <w:szCs w:val="22"/>
        </w:rPr>
        <w:t xml:space="preserve"> Povećanje izdataka bilježi se i na uslugama tekućeg i investicijskog odr</w:t>
      </w:r>
      <w:r w:rsidR="002F0839" w:rsidRPr="00057776">
        <w:rPr>
          <w:rFonts w:ascii="Tahoma" w:hAnsi="Tahoma" w:cs="Tahoma"/>
          <w:sz w:val="22"/>
          <w:szCs w:val="22"/>
        </w:rPr>
        <w:t>žavanja građe i telekomunikacija</w:t>
      </w:r>
      <w:r w:rsidR="001F7E66" w:rsidRPr="00057776">
        <w:rPr>
          <w:rFonts w:ascii="Tahoma" w:hAnsi="Tahoma" w:cs="Tahoma"/>
          <w:sz w:val="22"/>
          <w:szCs w:val="22"/>
        </w:rPr>
        <w:t>.</w:t>
      </w:r>
    </w:p>
    <w:p w:rsidR="001D5EF7" w:rsidRPr="002A66DF" w:rsidRDefault="001D5EF7" w:rsidP="001D5EF7">
      <w:pPr>
        <w:rPr>
          <w:rFonts w:ascii="Tahoma" w:hAnsi="Tahoma" w:cs="Tahoma"/>
          <w:b/>
        </w:rPr>
      </w:pPr>
    </w:p>
    <w:p w:rsidR="001D5EF7" w:rsidRPr="002A66DF" w:rsidRDefault="00477489" w:rsidP="001D5EF7">
      <w:pPr>
        <w:pStyle w:val="ListParagraph"/>
        <w:numPr>
          <w:ilvl w:val="0"/>
          <w:numId w:val="6"/>
        </w:numPr>
        <w:jc w:val="both"/>
        <w:rPr>
          <w:rFonts w:ascii="Tahoma" w:hAnsi="Tahoma" w:cs="Tahoma"/>
          <w:b/>
          <w:sz w:val="22"/>
          <w:szCs w:val="22"/>
        </w:rPr>
      </w:pPr>
      <w:r w:rsidRPr="002A66DF">
        <w:rPr>
          <w:rFonts w:ascii="Tahoma" w:hAnsi="Tahoma" w:cs="Tahoma"/>
          <w:b/>
          <w:sz w:val="22"/>
          <w:szCs w:val="22"/>
        </w:rPr>
        <w:t xml:space="preserve">Zdravstvene i veterinarske usluge </w:t>
      </w:r>
      <w:r w:rsidR="00C2329F" w:rsidRPr="002A66DF">
        <w:rPr>
          <w:rFonts w:ascii="Tahoma" w:hAnsi="Tahoma" w:cs="Tahoma"/>
          <w:b/>
          <w:sz w:val="22"/>
          <w:szCs w:val="22"/>
        </w:rPr>
        <w:t>(Šifra 3236)</w:t>
      </w:r>
    </w:p>
    <w:p w:rsidR="001D5EF7" w:rsidRPr="002A66DF" w:rsidRDefault="001D5EF7" w:rsidP="001D5EF7">
      <w:pPr>
        <w:jc w:val="both"/>
        <w:rPr>
          <w:rFonts w:ascii="Tahoma" w:hAnsi="Tahoma" w:cs="Tahoma"/>
          <w:sz w:val="22"/>
          <w:szCs w:val="22"/>
        </w:rPr>
      </w:pPr>
    </w:p>
    <w:tbl>
      <w:tblPr>
        <w:tblW w:w="9214" w:type="dxa"/>
        <w:tblInd w:w="-5" w:type="dxa"/>
        <w:tblLook w:val="04A0" w:firstRow="1" w:lastRow="0" w:firstColumn="1" w:lastColumn="0" w:noHBand="0" w:noVBand="1"/>
      </w:tblPr>
      <w:tblGrid>
        <w:gridCol w:w="3261"/>
        <w:gridCol w:w="1984"/>
        <w:gridCol w:w="1843"/>
        <w:gridCol w:w="2126"/>
      </w:tblGrid>
      <w:tr w:rsidR="001D5EF7" w:rsidRPr="002A66DF" w:rsidTr="00222CA9">
        <w:trPr>
          <w:trHeight w:val="570"/>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EF7" w:rsidRPr="002A66DF" w:rsidRDefault="00313F5F" w:rsidP="00477489">
            <w:pPr>
              <w:jc w:val="center"/>
              <w:rPr>
                <w:rFonts w:ascii="Tahoma" w:hAnsi="Tahoma" w:cs="Tahoma"/>
                <w:b/>
                <w:bCs/>
                <w:sz w:val="20"/>
                <w:szCs w:val="20"/>
                <w:lang w:eastAsia="hr-HR"/>
              </w:rPr>
            </w:pPr>
            <w:r w:rsidRPr="002A66DF">
              <w:rPr>
                <w:rFonts w:ascii="Tahoma" w:hAnsi="Tahoma" w:cs="Tahoma"/>
                <w:b/>
                <w:bCs/>
                <w:sz w:val="20"/>
                <w:szCs w:val="20"/>
                <w:lang w:eastAsia="hr-HR"/>
              </w:rPr>
              <w:t>Zdravstvene i veterinarske usluge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D5EF7" w:rsidRPr="002A66DF" w:rsidRDefault="001D5EF7" w:rsidP="00222CA9">
            <w:pPr>
              <w:jc w:val="center"/>
              <w:rPr>
                <w:rFonts w:ascii="Tahoma" w:hAnsi="Tahoma" w:cs="Tahoma"/>
                <w:b/>
                <w:bCs/>
                <w:sz w:val="22"/>
                <w:lang w:eastAsia="hr-HR"/>
              </w:rPr>
            </w:pPr>
            <w:r w:rsidRPr="002A66DF">
              <w:rPr>
                <w:rFonts w:ascii="Tahoma" w:hAnsi="Tahoma" w:cs="Tahoma"/>
                <w:b/>
                <w:bCs/>
                <w:sz w:val="22"/>
                <w:lang w:eastAsia="hr-HR"/>
              </w:rPr>
              <w:t xml:space="preserve">Izvršenje </w:t>
            </w:r>
            <w:r w:rsidRPr="002A66DF">
              <w:rPr>
                <w:rFonts w:ascii="Tahoma" w:hAnsi="Tahoma" w:cs="Tahoma"/>
                <w:b/>
                <w:bCs/>
                <w:sz w:val="22"/>
                <w:lang w:eastAsia="hr-HR"/>
              </w:rPr>
              <w:br/>
              <w:t>202</w:t>
            </w:r>
            <w:r w:rsidR="0022296B">
              <w:rPr>
                <w:rFonts w:ascii="Tahoma" w:hAnsi="Tahoma" w:cs="Tahoma"/>
                <w:b/>
                <w:bCs/>
                <w:sz w:val="22"/>
                <w:lang w:eastAsia="hr-HR"/>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D5EF7" w:rsidRPr="002A66DF" w:rsidRDefault="001D5EF7" w:rsidP="00222CA9">
            <w:pPr>
              <w:jc w:val="center"/>
              <w:rPr>
                <w:rFonts w:ascii="Tahoma" w:hAnsi="Tahoma" w:cs="Tahoma"/>
                <w:b/>
                <w:bCs/>
                <w:sz w:val="22"/>
                <w:lang w:eastAsia="hr-HR"/>
              </w:rPr>
            </w:pPr>
            <w:r w:rsidRPr="002A66DF">
              <w:rPr>
                <w:rFonts w:ascii="Tahoma" w:hAnsi="Tahoma" w:cs="Tahoma"/>
                <w:b/>
                <w:bCs/>
                <w:sz w:val="22"/>
                <w:lang w:eastAsia="hr-HR"/>
              </w:rPr>
              <w:t>Izvršenje  202</w:t>
            </w:r>
            <w:r w:rsidR="0022296B">
              <w:rPr>
                <w:rFonts w:ascii="Tahoma" w:hAnsi="Tahoma" w:cs="Tahoma"/>
                <w:b/>
                <w:bCs/>
                <w:sz w:val="22"/>
                <w:lang w:eastAsia="hr-HR"/>
              </w:rPr>
              <w:t>4</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D5EF7" w:rsidRPr="002A66DF" w:rsidRDefault="001D5EF7" w:rsidP="00222CA9">
            <w:pPr>
              <w:jc w:val="center"/>
              <w:rPr>
                <w:rFonts w:ascii="Tahoma" w:hAnsi="Tahoma" w:cs="Tahoma"/>
                <w:b/>
                <w:bCs/>
                <w:sz w:val="22"/>
                <w:lang w:eastAsia="hr-HR"/>
              </w:rPr>
            </w:pPr>
            <w:r w:rsidRPr="002A66DF">
              <w:rPr>
                <w:rFonts w:ascii="Tahoma" w:hAnsi="Tahoma" w:cs="Tahoma"/>
                <w:b/>
                <w:bCs/>
                <w:sz w:val="22"/>
                <w:lang w:eastAsia="hr-HR"/>
              </w:rPr>
              <w:t>Indeks</w:t>
            </w:r>
            <w:r w:rsidRPr="002A66DF">
              <w:rPr>
                <w:rFonts w:ascii="Tahoma" w:hAnsi="Tahoma" w:cs="Tahoma"/>
                <w:b/>
                <w:bCs/>
                <w:sz w:val="22"/>
                <w:lang w:eastAsia="hr-HR"/>
              </w:rPr>
              <w:br/>
              <w:t>202</w:t>
            </w:r>
            <w:r w:rsidR="0022296B">
              <w:rPr>
                <w:rFonts w:ascii="Tahoma" w:hAnsi="Tahoma" w:cs="Tahoma"/>
                <w:b/>
                <w:bCs/>
                <w:sz w:val="22"/>
                <w:lang w:eastAsia="hr-HR"/>
              </w:rPr>
              <w:t>4</w:t>
            </w:r>
            <w:r w:rsidRPr="002A66DF">
              <w:rPr>
                <w:rFonts w:ascii="Tahoma" w:hAnsi="Tahoma" w:cs="Tahoma"/>
                <w:b/>
                <w:bCs/>
                <w:sz w:val="22"/>
                <w:lang w:eastAsia="hr-HR"/>
              </w:rPr>
              <w:t>/202</w:t>
            </w:r>
            <w:r w:rsidR="0022296B">
              <w:rPr>
                <w:rFonts w:ascii="Tahoma" w:hAnsi="Tahoma" w:cs="Tahoma"/>
                <w:b/>
                <w:bCs/>
                <w:sz w:val="22"/>
                <w:lang w:eastAsia="hr-HR"/>
              </w:rPr>
              <w:t>3</w:t>
            </w:r>
          </w:p>
        </w:tc>
      </w:tr>
      <w:tr w:rsidR="001D5EF7" w:rsidRPr="002A66DF" w:rsidTr="00222CA9">
        <w:trPr>
          <w:trHeight w:val="285"/>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1D5EF7" w:rsidRPr="002A66DF" w:rsidRDefault="001D5EF7" w:rsidP="00222CA9">
            <w:pPr>
              <w:rPr>
                <w:rFonts w:ascii="Tahoma" w:hAnsi="Tahoma" w:cs="Tahoma"/>
                <w:b/>
                <w:bCs/>
                <w:sz w:val="22"/>
                <w:lang w:eastAsia="hr-HR"/>
              </w:rPr>
            </w:pPr>
          </w:p>
        </w:tc>
        <w:tc>
          <w:tcPr>
            <w:tcW w:w="1984" w:type="dxa"/>
            <w:tcBorders>
              <w:top w:val="nil"/>
              <w:left w:val="nil"/>
              <w:bottom w:val="single" w:sz="4" w:space="0" w:color="auto"/>
              <w:right w:val="single" w:sz="4" w:space="0" w:color="auto"/>
            </w:tcBorders>
            <w:shd w:val="clear" w:color="auto" w:fill="auto"/>
            <w:vAlign w:val="bottom"/>
            <w:hideMark/>
          </w:tcPr>
          <w:p w:rsidR="001D5EF7" w:rsidRPr="002A66DF" w:rsidRDefault="00D955B0" w:rsidP="00222CA9">
            <w:pPr>
              <w:jc w:val="right"/>
              <w:rPr>
                <w:rFonts w:ascii="Tahoma" w:hAnsi="Tahoma" w:cs="Tahoma"/>
                <w:sz w:val="22"/>
                <w:lang w:eastAsia="hr-HR"/>
              </w:rPr>
            </w:pPr>
            <w:r w:rsidRPr="00D955B0">
              <w:rPr>
                <w:rFonts w:ascii="Tahoma" w:hAnsi="Tahoma" w:cs="Tahoma"/>
                <w:sz w:val="22"/>
                <w:lang w:eastAsia="hr-HR"/>
              </w:rPr>
              <w:t>2.020.601</w:t>
            </w:r>
          </w:p>
        </w:tc>
        <w:tc>
          <w:tcPr>
            <w:tcW w:w="1843" w:type="dxa"/>
            <w:tcBorders>
              <w:top w:val="nil"/>
              <w:left w:val="nil"/>
              <w:bottom w:val="single" w:sz="4" w:space="0" w:color="auto"/>
              <w:right w:val="single" w:sz="4" w:space="0" w:color="auto"/>
            </w:tcBorders>
            <w:shd w:val="clear" w:color="auto" w:fill="auto"/>
            <w:vAlign w:val="bottom"/>
            <w:hideMark/>
          </w:tcPr>
          <w:p w:rsidR="001D5EF7" w:rsidRPr="002A66DF" w:rsidRDefault="00D955B0" w:rsidP="00222CA9">
            <w:pPr>
              <w:jc w:val="right"/>
              <w:rPr>
                <w:rFonts w:ascii="Tahoma" w:hAnsi="Tahoma" w:cs="Tahoma"/>
                <w:sz w:val="22"/>
                <w:lang w:eastAsia="hr-HR"/>
              </w:rPr>
            </w:pPr>
            <w:r>
              <w:rPr>
                <w:rFonts w:ascii="Tahoma" w:hAnsi="Tahoma" w:cs="Tahoma"/>
                <w:sz w:val="22"/>
                <w:lang w:eastAsia="hr-HR"/>
              </w:rPr>
              <w:t>3.583.823</w:t>
            </w:r>
          </w:p>
        </w:tc>
        <w:tc>
          <w:tcPr>
            <w:tcW w:w="2126" w:type="dxa"/>
            <w:tcBorders>
              <w:top w:val="nil"/>
              <w:left w:val="nil"/>
              <w:bottom w:val="single" w:sz="4" w:space="0" w:color="auto"/>
              <w:right w:val="single" w:sz="4" w:space="0" w:color="auto"/>
            </w:tcBorders>
            <w:shd w:val="clear" w:color="auto" w:fill="auto"/>
            <w:vAlign w:val="bottom"/>
            <w:hideMark/>
          </w:tcPr>
          <w:p w:rsidR="001D5EF7" w:rsidRPr="002A66DF" w:rsidRDefault="001D5EF7" w:rsidP="00222CA9">
            <w:pPr>
              <w:jc w:val="right"/>
              <w:rPr>
                <w:rFonts w:ascii="Tahoma" w:hAnsi="Tahoma" w:cs="Tahoma"/>
                <w:sz w:val="22"/>
                <w:lang w:eastAsia="hr-HR"/>
              </w:rPr>
            </w:pPr>
            <w:r w:rsidRPr="002A66DF">
              <w:rPr>
                <w:rFonts w:ascii="Tahoma" w:hAnsi="Tahoma" w:cs="Tahoma"/>
                <w:sz w:val="22"/>
                <w:lang w:eastAsia="hr-HR"/>
              </w:rPr>
              <w:t>1,</w:t>
            </w:r>
            <w:r w:rsidR="00477489" w:rsidRPr="002A66DF">
              <w:rPr>
                <w:rFonts w:ascii="Tahoma" w:hAnsi="Tahoma" w:cs="Tahoma"/>
                <w:sz w:val="22"/>
                <w:lang w:eastAsia="hr-HR"/>
              </w:rPr>
              <w:t>77</w:t>
            </w:r>
          </w:p>
        </w:tc>
      </w:tr>
    </w:tbl>
    <w:p w:rsidR="001D5EF7" w:rsidRPr="002A66DF" w:rsidRDefault="001D5EF7" w:rsidP="001D5EF7">
      <w:pPr>
        <w:jc w:val="both"/>
        <w:rPr>
          <w:rFonts w:ascii="Tahoma" w:hAnsi="Tahoma" w:cs="Tahoma"/>
          <w:b/>
          <w:sz w:val="22"/>
        </w:rPr>
      </w:pPr>
    </w:p>
    <w:p w:rsidR="001D5EF7" w:rsidRPr="002A66DF" w:rsidRDefault="001D5EF7" w:rsidP="001D5EF7">
      <w:pPr>
        <w:jc w:val="both"/>
        <w:rPr>
          <w:rFonts w:ascii="Tahoma" w:hAnsi="Tahoma" w:cs="Tahoma"/>
          <w:sz w:val="22"/>
        </w:rPr>
      </w:pPr>
      <w:r w:rsidRPr="002A66DF">
        <w:rPr>
          <w:rFonts w:ascii="Tahoma" w:hAnsi="Tahoma" w:cs="Tahoma"/>
          <w:sz w:val="22"/>
        </w:rPr>
        <w:t xml:space="preserve">U </w:t>
      </w:r>
      <w:r w:rsidR="00B33785" w:rsidRPr="00057776">
        <w:rPr>
          <w:rFonts w:ascii="Tahoma" w:hAnsi="Tahoma" w:cs="Tahoma"/>
          <w:sz w:val="22"/>
        </w:rPr>
        <w:t>razdoblju od 1. siječnja do 31. prosinca 2024. godine</w:t>
      </w:r>
      <w:r w:rsidRPr="00057776">
        <w:rPr>
          <w:rFonts w:ascii="Tahoma" w:hAnsi="Tahoma" w:cs="Tahoma"/>
          <w:sz w:val="22"/>
        </w:rPr>
        <w:t xml:space="preserve"> </w:t>
      </w:r>
      <w:r w:rsidR="00221695">
        <w:rPr>
          <w:rFonts w:ascii="Tahoma" w:hAnsi="Tahoma" w:cs="Tahoma"/>
          <w:sz w:val="22"/>
        </w:rPr>
        <w:t>rashodi</w:t>
      </w:r>
      <w:r w:rsidRPr="00057776">
        <w:rPr>
          <w:rFonts w:ascii="Tahoma" w:hAnsi="Tahoma" w:cs="Tahoma"/>
          <w:sz w:val="22"/>
        </w:rPr>
        <w:t xml:space="preserve"> za </w:t>
      </w:r>
      <w:r w:rsidR="00313F5F" w:rsidRPr="00057776">
        <w:rPr>
          <w:rFonts w:ascii="Tahoma" w:hAnsi="Tahoma" w:cs="Tahoma"/>
          <w:sz w:val="22"/>
        </w:rPr>
        <w:t xml:space="preserve">zdravstvene i veterinarske usluge, tj. </w:t>
      </w:r>
      <w:r w:rsidR="00477489" w:rsidRPr="00057776">
        <w:rPr>
          <w:rFonts w:ascii="Tahoma" w:hAnsi="Tahoma" w:cs="Tahoma"/>
          <w:sz w:val="22"/>
        </w:rPr>
        <w:t>usluge drugih zdravstvenih ustanova</w:t>
      </w:r>
      <w:r w:rsidR="005E7DF2" w:rsidRPr="00057776">
        <w:rPr>
          <w:rFonts w:ascii="Tahoma" w:hAnsi="Tahoma" w:cs="Tahoma"/>
          <w:sz w:val="22"/>
        </w:rPr>
        <w:t xml:space="preserve"> </w:t>
      </w:r>
      <w:r w:rsidRPr="00057776">
        <w:rPr>
          <w:rFonts w:ascii="Tahoma" w:hAnsi="Tahoma" w:cs="Tahoma"/>
          <w:sz w:val="22"/>
        </w:rPr>
        <w:t xml:space="preserve">porasli su za </w:t>
      </w:r>
      <w:r w:rsidR="00B33785" w:rsidRPr="00057776">
        <w:rPr>
          <w:rFonts w:ascii="Tahoma" w:hAnsi="Tahoma" w:cs="Tahoma"/>
          <w:sz w:val="22"/>
        </w:rPr>
        <w:t>77</w:t>
      </w:r>
      <w:r w:rsidRPr="00057776">
        <w:rPr>
          <w:rFonts w:ascii="Tahoma" w:hAnsi="Tahoma" w:cs="Tahoma"/>
          <w:sz w:val="22"/>
        </w:rPr>
        <w:t>,</w:t>
      </w:r>
      <w:r w:rsidR="00B33785" w:rsidRPr="00057776">
        <w:rPr>
          <w:rFonts w:ascii="Tahoma" w:hAnsi="Tahoma" w:cs="Tahoma"/>
          <w:sz w:val="22"/>
        </w:rPr>
        <w:t>4</w:t>
      </w:r>
      <w:r w:rsidRPr="00057776">
        <w:rPr>
          <w:rFonts w:ascii="Tahoma" w:hAnsi="Tahoma" w:cs="Tahoma"/>
          <w:sz w:val="22"/>
        </w:rPr>
        <w:t xml:space="preserve">% u odnosu na prethodnu godinu. </w:t>
      </w:r>
      <w:r w:rsidR="00FA66FD" w:rsidRPr="00057776">
        <w:rPr>
          <w:rFonts w:ascii="Tahoma" w:hAnsi="Tahoma" w:cs="Tahoma"/>
          <w:sz w:val="22"/>
        </w:rPr>
        <w:t xml:space="preserve">Pod izdatke za usluge drugih zdravstvenih ustanova spadaju </w:t>
      </w:r>
      <w:proofErr w:type="spellStart"/>
      <w:r w:rsidR="00FA66FD" w:rsidRPr="00057776">
        <w:rPr>
          <w:rFonts w:ascii="Tahoma" w:hAnsi="Tahoma" w:cs="Tahoma"/>
          <w:sz w:val="22"/>
        </w:rPr>
        <w:t>suradne</w:t>
      </w:r>
      <w:proofErr w:type="spellEnd"/>
      <w:r w:rsidR="00FA66FD" w:rsidRPr="00057776">
        <w:rPr>
          <w:rFonts w:ascii="Tahoma" w:hAnsi="Tahoma" w:cs="Tahoma"/>
          <w:sz w:val="22"/>
        </w:rPr>
        <w:t xml:space="preserve"> ustanove, obdukcije, gensko profiliranje i pr</w:t>
      </w:r>
      <w:r w:rsidR="00B33785" w:rsidRPr="00057776">
        <w:rPr>
          <w:rFonts w:ascii="Tahoma" w:hAnsi="Tahoma" w:cs="Tahoma"/>
          <w:sz w:val="22"/>
        </w:rPr>
        <w:t>egledi zaposlenika</w:t>
      </w:r>
      <w:r w:rsidR="00FA66FD" w:rsidRPr="00057776">
        <w:rPr>
          <w:rFonts w:ascii="Tahoma" w:hAnsi="Tahoma" w:cs="Tahoma"/>
          <w:sz w:val="22"/>
        </w:rPr>
        <w:t xml:space="preserve">. </w:t>
      </w:r>
      <w:r w:rsidRPr="00057776">
        <w:rPr>
          <w:rFonts w:ascii="Tahoma" w:hAnsi="Tahoma" w:cs="Tahoma"/>
          <w:sz w:val="22"/>
        </w:rPr>
        <w:t xml:space="preserve">Od </w:t>
      </w:r>
      <w:r w:rsidR="00FA66FD" w:rsidRPr="00057776">
        <w:rPr>
          <w:rFonts w:ascii="Tahoma" w:hAnsi="Tahoma" w:cs="Tahoma"/>
          <w:sz w:val="22"/>
        </w:rPr>
        <w:t xml:space="preserve">navedenih </w:t>
      </w:r>
      <w:r w:rsidRPr="00057776">
        <w:rPr>
          <w:rFonts w:ascii="Tahoma" w:hAnsi="Tahoma" w:cs="Tahoma"/>
          <w:sz w:val="22"/>
        </w:rPr>
        <w:t>usluga</w:t>
      </w:r>
      <w:r w:rsidR="00FA66FD" w:rsidRPr="00057776">
        <w:rPr>
          <w:rFonts w:ascii="Tahoma" w:hAnsi="Tahoma" w:cs="Tahoma"/>
          <w:sz w:val="22"/>
        </w:rPr>
        <w:t xml:space="preserve"> </w:t>
      </w:r>
      <w:r w:rsidR="00B33785" w:rsidRPr="00057776">
        <w:rPr>
          <w:rFonts w:ascii="Tahoma" w:hAnsi="Tahoma" w:cs="Tahoma"/>
          <w:sz w:val="22"/>
        </w:rPr>
        <w:t>najveće povećanje rashoda u 2024</w:t>
      </w:r>
      <w:r w:rsidR="00FA66FD" w:rsidRPr="00057776">
        <w:rPr>
          <w:rFonts w:ascii="Tahoma" w:hAnsi="Tahoma" w:cs="Tahoma"/>
          <w:sz w:val="22"/>
        </w:rPr>
        <w:t xml:space="preserve">. bilježi </w:t>
      </w:r>
      <w:r w:rsidR="00792656" w:rsidRPr="00057776">
        <w:rPr>
          <w:rFonts w:ascii="Tahoma" w:hAnsi="Tahoma" w:cs="Tahoma"/>
          <w:sz w:val="22"/>
        </w:rPr>
        <w:t xml:space="preserve">se na kontu </w:t>
      </w:r>
      <w:r w:rsidR="00FA66FD" w:rsidRPr="00057776">
        <w:rPr>
          <w:rFonts w:ascii="Tahoma" w:hAnsi="Tahoma" w:cs="Tahoma"/>
          <w:sz w:val="22"/>
        </w:rPr>
        <w:t>usluga genskog profiliranja</w:t>
      </w:r>
      <w:r w:rsidR="00792656" w:rsidRPr="00057776">
        <w:rPr>
          <w:rFonts w:ascii="Tahoma" w:hAnsi="Tahoma" w:cs="Tahoma"/>
          <w:sz w:val="22"/>
        </w:rPr>
        <w:t xml:space="preserve"> zbog povećanja broja slučajeva</w:t>
      </w:r>
      <w:r w:rsidR="00B33785" w:rsidRPr="00057776">
        <w:rPr>
          <w:rFonts w:ascii="Tahoma" w:hAnsi="Tahoma" w:cs="Tahoma"/>
          <w:sz w:val="22"/>
        </w:rPr>
        <w:t xml:space="preserve"> (otvaranje Zavoda za personaliziranu medicinu) te na kontu usluge drugih zdravstvenih ustanova – </w:t>
      </w:r>
      <w:proofErr w:type="spellStart"/>
      <w:r w:rsidR="00B33785" w:rsidRPr="00057776">
        <w:rPr>
          <w:rFonts w:ascii="Tahoma" w:hAnsi="Tahoma" w:cs="Tahoma"/>
          <w:sz w:val="22"/>
        </w:rPr>
        <w:t>suradne</w:t>
      </w:r>
      <w:proofErr w:type="spellEnd"/>
      <w:r w:rsidR="00B33785" w:rsidRPr="00057776">
        <w:rPr>
          <w:rFonts w:ascii="Tahoma" w:hAnsi="Tahoma" w:cs="Tahoma"/>
          <w:sz w:val="22"/>
        </w:rPr>
        <w:t xml:space="preserve"> ustanove</w:t>
      </w:r>
      <w:r w:rsidRPr="00057776">
        <w:rPr>
          <w:rFonts w:ascii="Tahoma" w:hAnsi="Tahoma" w:cs="Tahoma"/>
          <w:sz w:val="22"/>
        </w:rPr>
        <w:t>.</w:t>
      </w:r>
    </w:p>
    <w:p w:rsidR="00191799" w:rsidRPr="002A66DF" w:rsidRDefault="00191799" w:rsidP="001D5EF7">
      <w:pPr>
        <w:jc w:val="both"/>
        <w:rPr>
          <w:rFonts w:ascii="Tahoma" w:hAnsi="Tahoma" w:cs="Tahoma"/>
          <w:sz w:val="22"/>
        </w:rPr>
      </w:pPr>
    </w:p>
    <w:p w:rsidR="00B33785" w:rsidRPr="002A66DF" w:rsidRDefault="00B33785" w:rsidP="001D5EF7">
      <w:pPr>
        <w:jc w:val="both"/>
        <w:rPr>
          <w:rFonts w:ascii="Tahoma" w:hAnsi="Tahoma" w:cs="Tahoma"/>
          <w:sz w:val="22"/>
        </w:rPr>
      </w:pPr>
    </w:p>
    <w:p w:rsidR="00D91F7E" w:rsidRPr="002A66DF" w:rsidRDefault="00BE0FE4" w:rsidP="00D91F7E">
      <w:pPr>
        <w:pStyle w:val="ListParagraph"/>
        <w:numPr>
          <w:ilvl w:val="0"/>
          <w:numId w:val="6"/>
        </w:numPr>
        <w:jc w:val="both"/>
        <w:rPr>
          <w:rFonts w:ascii="Tahoma" w:hAnsi="Tahoma" w:cs="Tahoma"/>
          <w:b/>
          <w:sz w:val="22"/>
        </w:rPr>
      </w:pPr>
      <w:r>
        <w:rPr>
          <w:rFonts w:ascii="Tahoma" w:hAnsi="Tahoma" w:cs="Tahoma"/>
          <w:b/>
          <w:sz w:val="22"/>
        </w:rPr>
        <w:t>Komunalne usluge</w:t>
      </w:r>
      <w:r w:rsidR="00D91F7E" w:rsidRPr="002A66DF">
        <w:rPr>
          <w:rFonts w:ascii="Tahoma" w:hAnsi="Tahoma" w:cs="Tahoma"/>
          <w:b/>
          <w:sz w:val="22"/>
        </w:rPr>
        <w:t xml:space="preserve"> (</w:t>
      </w:r>
      <w:r>
        <w:rPr>
          <w:rFonts w:ascii="Tahoma" w:hAnsi="Tahoma" w:cs="Tahoma"/>
          <w:b/>
          <w:sz w:val="22"/>
        </w:rPr>
        <w:t>Šifra 3234</w:t>
      </w:r>
      <w:r w:rsidR="00D91F7E" w:rsidRPr="002A66DF">
        <w:rPr>
          <w:rFonts w:ascii="Tahoma" w:hAnsi="Tahoma" w:cs="Tahoma"/>
          <w:b/>
          <w:sz w:val="22"/>
        </w:rPr>
        <w:t>)</w:t>
      </w:r>
    </w:p>
    <w:p w:rsidR="00D91F7E" w:rsidRPr="002A66DF" w:rsidRDefault="00D91F7E" w:rsidP="00D91F7E">
      <w:pPr>
        <w:jc w:val="both"/>
        <w:rPr>
          <w:rFonts w:ascii="Tahoma" w:hAnsi="Tahoma" w:cs="Tahoma"/>
          <w:sz w:val="22"/>
        </w:rPr>
      </w:pPr>
      <w:r w:rsidRPr="002A66DF">
        <w:rPr>
          <w:rFonts w:ascii="Tahoma" w:hAnsi="Tahoma" w:cs="Tahoma"/>
          <w:sz w:val="22"/>
        </w:rPr>
        <w:t xml:space="preserve"> </w:t>
      </w:r>
    </w:p>
    <w:tbl>
      <w:tblPr>
        <w:tblW w:w="9214" w:type="dxa"/>
        <w:tblInd w:w="-5" w:type="dxa"/>
        <w:tblLook w:val="04A0" w:firstRow="1" w:lastRow="0" w:firstColumn="1" w:lastColumn="0" w:noHBand="0" w:noVBand="1"/>
      </w:tblPr>
      <w:tblGrid>
        <w:gridCol w:w="3261"/>
        <w:gridCol w:w="1984"/>
        <w:gridCol w:w="1843"/>
        <w:gridCol w:w="2126"/>
      </w:tblGrid>
      <w:tr w:rsidR="00D91F7E" w:rsidRPr="002A66DF" w:rsidTr="004E687E">
        <w:trPr>
          <w:trHeight w:val="570"/>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F7E" w:rsidRPr="002A66DF" w:rsidRDefault="006D68F3" w:rsidP="004E687E">
            <w:pPr>
              <w:jc w:val="center"/>
              <w:rPr>
                <w:rFonts w:ascii="Tahoma" w:hAnsi="Tahoma" w:cs="Tahoma"/>
                <w:b/>
                <w:bCs/>
                <w:lang w:eastAsia="hr-HR"/>
              </w:rPr>
            </w:pPr>
            <w:r>
              <w:rPr>
                <w:rFonts w:ascii="Tahoma" w:hAnsi="Tahoma" w:cs="Tahoma"/>
                <w:b/>
                <w:bCs/>
                <w:sz w:val="20"/>
                <w:lang w:eastAsia="hr-HR"/>
              </w:rPr>
              <w:t>Komunalne usluge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91F7E" w:rsidRPr="002A66DF" w:rsidRDefault="00D91F7E" w:rsidP="004E687E">
            <w:pPr>
              <w:jc w:val="center"/>
              <w:rPr>
                <w:rFonts w:ascii="Tahoma" w:hAnsi="Tahoma" w:cs="Tahoma"/>
                <w:b/>
                <w:bCs/>
                <w:sz w:val="22"/>
                <w:lang w:eastAsia="hr-HR"/>
              </w:rPr>
            </w:pPr>
            <w:r w:rsidRPr="002A66DF">
              <w:rPr>
                <w:rFonts w:ascii="Tahoma" w:hAnsi="Tahoma" w:cs="Tahoma"/>
                <w:b/>
                <w:bCs/>
                <w:sz w:val="22"/>
                <w:lang w:eastAsia="hr-HR"/>
              </w:rPr>
              <w:t xml:space="preserve">Izvršenje </w:t>
            </w:r>
            <w:r w:rsidRPr="002A66DF">
              <w:rPr>
                <w:rFonts w:ascii="Tahoma" w:hAnsi="Tahoma" w:cs="Tahoma"/>
                <w:b/>
                <w:bCs/>
                <w:sz w:val="22"/>
                <w:lang w:eastAsia="hr-HR"/>
              </w:rPr>
              <w:br/>
              <w:t>202</w:t>
            </w:r>
            <w:r w:rsidR="006D68F3">
              <w:rPr>
                <w:rFonts w:ascii="Tahoma" w:hAnsi="Tahoma" w:cs="Tahoma"/>
                <w:b/>
                <w:bCs/>
                <w:sz w:val="22"/>
                <w:lang w:eastAsia="hr-HR"/>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91F7E" w:rsidRPr="002A66DF" w:rsidRDefault="00D91F7E" w:rsidP="004E687E">
            <w:pPr>
              <w:jc w:val="center"/>
              <w:rPr>
                <w:rFonts w:ascii="Tahoma" w:hAnsi="Tahoma" w:cs="Tahoma"/>
                <w:b/>
                <w:bCs/>
                <w:sz w:val="22"/>
                <w:lang w:eastAsia="hr-HR"/>
              </w:rPr>
            </w:pPr>
            <w:r w:rsidRPr="002A66DF">
              <w:rPr>
                <w:rFonts w:ascii="Tahoma" w:hAnsi="Tahoma" w:cs="Tahoma"/>
                <w:b/>
                <w:bCs/>
                <w:sz w:val="22"/>
                <w:lang w:eastAsia="hr-HR"/>
              </w:rPr>
              <w:t xml:space="preserve">Izvršenje </w:t>
            </w:r>
            <w:r w:rsidRPr="002A66DF">
              <w:rPr>
                <w:rFonts w:ascii="Tahoma" w:hAnsi="Tahoma" w:cs="Tahoma"/>
                <w:b/>
                <w:bCs/>
                <w:sz w:val="22"/>
                <w:lang w:eastAsia="hr-HR"/>
              </w:rPr>
              <w:br/>
              <w:t>202</w:t>
            </w:r>
            <w:r w:rsidR="006D68F3">
              <w:rPr>
                <w:rFonts w:ascii="Tahoma" w:hAnsi="Tahoma" w:cs="Tahoma"/>
                <w:b/>
                <w:bCs/>
                <w:sz w:val="22"/>
                <w:lang w:eastAsia="hr-HR"/>
              </w:rPr>
              <w:t>4</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D91F7E" w:rsidRPr="002A66DF" w:rsidRDefault="00D91F7E" w:rsidP="004E687E">
            <w:pPr>
              <w:jc w:val="center"/>
              <w:rPr>
                <w:rFonts w:ascii="Tahoma" w:hAnsi="Tahoma" w:cs="Tahoma"/>
                <w:b/>
                <w:bCs/>
                <w:sz w:val="22"/>
                <w:lang w:eastAsia="hr-HR"/>
              </w:rPr>
            </w:pPr>
            <w:r w:rsidRPr="002A66DF">
              <w:rPr>
                <w:rFonts w:ascii="Tahoma" w:hAnsi="Tahoma" w:cs="Tahoma"/>
                <w:b/>
                <w:bCs/>
                <w:sz w:val="22"/>
                <w:lang w:eastAsia="hr-HR"/>
              </w:rPr>
              <w:t>Indeks</w:t>
            </w:r>
          </w:p>
          <w:p w:rsidR="00D91F7E" w:rsidRPr="002A66DF" w:rsidRDefault="006D68F3" w:rsidP="004E687E">
            <w:pPr>
              <w:jc w:val="center"/>
              <w:rPr>
                <w:rFonts w:ascii="Tahoma" w:hAnsi="Tahoma" w:cs="Tahoma"/>
                <w:b/>
                <w:bCs/>
                <w:sz w:val="22"/>
                <w:lang w:eastAsia="hr-HR"/>
              </w:rPr>
            </w:pPr>
            <w:r>
              <w:rPr>
                <w:rFonts w:ascii="Tahoma" w:hAnsi="Tahoma" w:cs="Tahoma"/>
                <w:b/>
                <w:bCs/>
                <w:sz w:val="22"/>
                <w:lang w:eastAsia="hr-HR"/>
              </w:rPr>
              <w:t>2024/2023</w:t>
            </w:r>
          </w:p>
        </w:tc>
      </w:tr>
      <w:tr w:rsidR="00D91F7E" w:rsidRPr="000172DA" w:rsidTr="004E687E">
        <w:trPr>
          <w:trHeight w:val="320"/>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D91F7E" w:rsidRPr="002A66DF" w:rsidRDefault="00D91F7E" w:rsidP="004E687E">
            <w:pPr>
              <w:rPr>
                <w:rFonts w:ascii="Tahoma" w:hAnsi="Tahoma" w:cs="Tahoma"/>
                <w:b/>
                <w:bCs/>
                <w:lang w:eastAsia="hr-HR"/>
              </w:rPr>
            </w:pPr>
          </w:p>
        </w:tc>
        <w:tc>
          <w:tcPr>
            <w:tcW w:w="1984" w:type="dxa"/>
            <w:tcBorders>
              <w:top w:val="nil"/>
              <w:left w:val="nil"/>
              <w:bottom w:val="single" w:sz="4" w:space="0" w:color="auto"/>
              <w:right w:val="single" w:sz="4" w:space="0" w:color="auto"/>
            </w:tcBorders>
            <w:shd w:val="clear" w:color="auto" w:fill="auto"/>
            <w:vAlign w:val="bottom"/>
            <w:hideMark/>
          </w:tcPr>
          <w:p w:rsidR="00D91F7E" w:rsidRPr="002A66DF" w:rsidRDefault="006D68F3" w:rsidP="004E687E">
            <w:pPr>
              <w:jc w:val="right"/>
              <w:rPr>
                <w:rFonts w:ascii="Tahoma" w:hAnsi="Tahoma" w:cs="Tahoma"/>
                <w:sz w:val="22"/>
                <w:lang w:eastAsia="hr-HR"/>
              </w:rPr>
            </w:pPr>
            <w:r>
              <w:rPr>
                <w:rFonts w:ascii="Tahoma" w:hAnsi="Tahoma" w:cs="Tahoma"/>
                <w:sz w:val="22"/>
                <w:lang w:eastAsia="hr-HR"/>
              </w:rPr>
              <w:t>2.281.663</w:t>
            </w:r>
          </w:p>
        </w:tc>
        <w:tc>
          <w:tcPr>
            <w:tcW w:w="1843" w:type="dxa"/>
            <w:tcBorders>
              <w:top w:val="nil"/>
              <w:left w:val="nil"/>
              <w:bottom w:val="single" w:sz="4" w:space="0" w:color="auto"/>
              <w:right w:val="single" w:sz="4" w:space="0" w:color="auto"/>
            </w:tcBorders>
            <w:shd w:val="clear" w:color="auto" w:fill="auto"/>
            <w:vAlign w:val="bottom"/>
            <w:hideMark/>
          </w:tcPr>
          <w:p w:rsidR="00D91F7E" w:rsidRPr="002A66DF" w:rsidRDefault="006D68F3" w:rsidP="004E687E">
            <w:pPr>
              <w:jc w:val="right"/>
              <w:rPr>
                <w:rFonts w:ascii="Tahoma" w:hAnsi="Tahoma" w:cs="Tahoma"/>
                <w:sz w:val="22"/>
                <w:lang w:eastAsia="hr-HR"/>
              </w:rPr>
            </w:pPr>
            <w:r>
              <w:rPr>
                <w:rFonts w:ascii="Tahoma" w:hAnsi="Tahoma" w:cs="Tahoma"/>
                <w:sz w:val="22"/>
                <w:lang w:eastAsia="hr-HR"/>
              </w:rPr>
              <w:t>3.453.398</w:t>
            </w:r>
          </w:p>
        </w:tc>
        <w:tc>
          <w:tcPr>
            <w:tcW w:w="2126" w:type="dxa"/>
            <w:tcBorders>
              <w:top w:val="nil"/>
              <w:left w:val="nil"/>
              <w:bottom w:val="single" w:sz="4" w:space="0" w:color="auto"/>
              <w:right w:val="single" w:sz="4" w:space="0" w:color="auto"/>
            </w:tcBorders>
            <w:shd w:val="clear" w:color="auto" w:fill="auto"/>
            <w:vAlign w:val="bottom"/>
            <w:hideMark/>
          </w:tcPr>
          <w:p w:rsidR="00D91F7E" w:rsidRPr="00BD4D08" w:rsidRDefault="006D68F3" w:rsidP="004E687E">
            <w:pPr>
              <w:jc w:val="right"/>
              <w:rPr>
                <w:rFonts w:ascii="Tahoma" w:hAnsi="Tahoma" w:cs="Tahoma"/>
                <w:sz w:val="22"/>
                <w:lang w:eastAsia="hr-HR"/>
              </w:rPr>
            </w:pPr>
            <w:r>
              <w:rPr>
                <w:rFonts w:ascii="Tahoma" w:hAnsi="Tahoma" w:cs="Tahoma"/>
                <w:sz w:val="22"/>
                <w:lang w:eastAsia="hr-HR"/>
              </w:rPr>
              <w:t>1,51</w:t>
            </w:r>
          </w:p>
        </w:tc>
      </w:tr>
    </w:tbl>
    <w:p w:rsidR="00D91F7E" w:rsidRDefault="00D91F7E" w:rsidP="00D91F7E">
      <w:pPr>
        <w:jc w:val="both"/>
        <w:rPr>
          <w:rFonts w:ascii="Tahoma" w:hAnsi="Tahoma" w:cs="Tahoma"/>
        </w:rPr>
      </w:pPr>
    </w:p>
    <w:p w:rsidR="00D91F7E" w:rsidRPr="00D20444" w:rsidRDefault="00D91F7E" w:rsidP="00D91F7E">
      <w:pPr>
        <w:jc w:val="both"/>
        <w:rPr>
          <w:rFonts w:ascii="Tahoma" w:eastAsia="Calibri" w:hAnsi="Tahoma" w:cs="Tahoma"/>
          <w:sz w:val="21"/>
          <w:szCs w:val="21"/>
        </w:rPr>
      </w:pPr>
      <w:r w:rsidRPr="00BD4D08">
        <w:rPr>
          <w:rFonts w:ascii="Tahoma" w:hAnsi="Tahoma" w:cs="Tahoma"/>
          <w:sz w:val="22"/>
        </w:rPr>
        <w:t xml:space="preserve">U </w:t>
      </w:r>
      <w:r w:rsidR="006D68F3" w:rsidRPr="002A66DF">
        <w:rPr>
          <w:rFonts w:ascii="Tahoma" w:hAnsi="Tahoma" w:cs="Tahoma"/>
          <w:sz w:val="22"/>
          <w:szCs w:val="22"/>
        </w:rPr>
        <w:t xml:space="preserve">razdoblju </w:t>
      </w:r>
      <w:r w:rsidR="006D68F3" w:rsidRPr="00C17F88">
        <w:rPr>
          <w:rFonts w:ascii="Tahoma" w:hAnsi="Tahoma" w:cs="Tahoma"/>
          <w:sz w:val="22"/>
          <w:szCs w:val="22"/>
        </w:rPr>
        <w:t>od 1. siječnja do 31. prosinca 2024. godine</w:t>
      </w:r>
      <w:r w:rsidRPr="00C17F88">
        <w:rPr>
          <w:rFonts w:ascii="Tahoma" w:hAnsi="Tahoma" w:cs="Tahoma"/>
          <w:sz w:val="22"/>
        </w:rPr>
        <w:t xml:space="preserve"> </w:t>
      </w:r>
      <w:r w:rsidR="00A33F7F">
        <w:rPr>
          <w:rFonts w:ascii="Tahoma" w:hAnsi="Tahoma" w:cs="Tahoma"/>
          <w:sz w:val="22"/>
        </w:rPr>
        <w:t>rashodi</w:t>
      </w:r>
      <w:r w:rsidRPr="00C17F88">
        <w:rPr>
          <w:rFonts w:ascii="Tahoma" w:hAnsi="Tahoma" w:cs="Tahoma"/>
          <w:sz w:val="22"/>
        </w:rPr>
        <w:t xml:space="preserve"> za </w:t>
      </w:r>
      <w:r w:rsidR="006D68F3" w:rsidRPr="00C17F88">
        <w:rPr>
          <w:rFonts w:ascii="Tahoma" w:hAnsi="Tahoma" w:cs="Tahoma"/>
          <w:sz w:val="22"/>
        </w:rPr>
        <w:t>komunalne usluge porasli su za 51,4</w:t>
      </w:r>
      <w:r w:rsidRPr="00C17F88">
        <w:rPr>
          <w:rFonts w:ascii="Tahoma" w:hAnsi="Tahoma" w:cs="Tahoma"/>
          <w:sz w:val="22"/>
        </w:rPr>
        <w:t xml:space="preserve">% u odnosu </w:t>
      </w:r>
      <w:bookmarkStart w:id="2" w:name="OLE_LINK7"/>
      <w:r w:rsidRPr="00C17F88">
        <w:rPr>
          <w:rFonts w:ascii="Tahoma" w:hAnsi="Tahoma" w:cs="Tahoma"/>
          <w:sz w:val="22"/>
        </w:rPr>
        <w:t xml:space="preserve">na </w:t>
      </w:r>
      <w:r w:rsidR="006D68F3" w:rsidRPr="00C17F88">
        <w:rPr>
          <w:rFonts w:ascii="Tahoma" w:hAnsi="Tahoma" w:cs="Tahoma"/>
          <w:sz w:val="22"/>
        </w:rPr>
        <w:t>isto razdoblje prethodne godine</w:t>
      </w:r>
      <w:bookmarkEnd w:id="2"/>
      <w:r w:rsidRPr="00C17F88">
        <w:rPr>
          <w:rFonts w:ascii="Tahoma" w:hAnsi="Tahoma" w:cs="Tahoma"/>
          <w:sz w:val="22"/>
        </w:rPr>
        <w:t xml:space="preserve">. </w:t>
      </w:r>
      <w:r w:rsidRPr="00C17F88">
        <w:rPr>
          <w:rFonts w:ascii="Tahoma" w:eastAsia="Calibri" w:hAnsi="Tahoma" w:cs="Tahoma"/>
          <w:sz w:val="21"/>
          <w:szCs w:val="21"/>
        </w:rPr>
        <w:t xml:space="preserve">Pod </w:t>
      </w:r>
      <w:r w:rsidR="00B150C9" w:rsidRPr="00C17F88">
        <w:rPr>
          <w:rFonts w:ascii="Tahoma" w:eastAsia="Calibri" w:hAnsi="Tahoma" w:cs="Tahoma"/>
          <w:sz w:val="21"/>
          <w:szCs w:val="21"/>
        </w:rPr>
        <w:t>komunalne</w:t>
      </w:r>
      <w:r w:rsidRPr="00C17F88">
        <w:rPr>
          <w:rFonts w:ascii="Tahoma" w:eastAsia="Calibri" w:hAnsi="Tahoma" w:cs="Tahoma"/>
          <w:sz w:val="21"/>
          <w:szCs w:val="21"/>
        </w:rPr>
        <w:t xml:space="preserve"> usluge spadaju </w:t>
      </w:r>
      <w:r w:rsidR="00B150C9" w:rsidRPr="00C17F88">
        <w:rPr>
          <w:rFonts w:ascii="Tahoma" w:eastAsia="Calibri" w:hAnsi="Tahoma" w:cs="Tahoma"/>
          <w:sz w:val="21"/>
          <w:szCs w:val="21"/>
        </w:rPr>
        <w:t>troškovi vode, čistoće, te dimnjačarske i ekološke usluge. Najveći porast rashoda u 2024</w:t>
      </w:r>
      <w:r w:rsidRPr="00C17F88">
        <w:rPr>
          <w:rFonts w:ascii="Tahoma" w:eastAsia="Calibri" w:hAnsi="Tahoma" w:cs="Tahoma"/>
          <w:sz w:val="21"/>
          <w:szCs w:val="21"/>
        </w:rPr>
        <w:t xml:space="preserve">. u odnosu na prethodnu godinu bilježe </w:t>
      </w:r>
      <w:r w:rsidR="00B150C9" w:rsidRPr="00C17F88">
        <w:rPr>
          <w:rFonts w:ascii="Tahoma" w:eastAsia="Calibri" w:hAnsi="Tahoma" w:cs="Tahoma"/>
          <w:sz w:val="21"/>
          <w:szCs w:val="21"/>
        </w:rPr>
        <w:t>ekološke usluge</w:t>
      </w:r>
      <w:r w:rsidR="0041373E" w:rsidRPr="00C17F88">
        <w:rPr>
          <w:rFonts w:ascii="Tahoma" w:eastAsia="Calibri" w:hAnsi="Tahoma" w:cs="Tahoma"/>
          <w:sz w:val="21"/>
          <w:szCs w:val="21"/>
        </w:rPr>
        <w:t xml:space="preserve"> – preuzimanje i daljnja obrada medicinskog/infektivnog otpada</w:t>
      </w:r>
      <w:r w:rsidR="007A1C80">
        <w:rPr>
          <w:rFonts w:ascii="Tahoma" w:eastAsia="Calibri" w:hAnsi="Tahoma" w:cs="Tahoma"/>
          <w:sz w:val="21"/>
          <w:szCs w:val="21"/>
        </w:rPr>
        <w:t>.</w:t>
      </w:r>
    </w:p>
    <w:p w:rsidR="00D91F7E" w:rsidRDefault="00D91F7E" w:rsidP="001D5EF7">
      <w:pPr>
        <w:jc w:val="both"/>
        <w:rPr>
          <w:rFonts w:ascii="Tahoma" w:hAnsi="Tahoma" w:cs="Tahoma"/>
          <w:sz w:val="22"/>
        </w:rPr>
      </w:pPr>
    </w:p>
    <w:p w:rsidR="00D91F7E" w:rsidRDefault="00D91F7E" w:rsidP="001D5EF7">
      <w:pPr>
        <w:jc w:val="both"/>
        <w:rPr>
          <w:rFonts w:ascii="Tahoma" w:hAnsi="Tahoma" w:cs="Tahoma"/>
          <w:sz w:val="22"/>
        </w:rPr>
      </w:pPr>
    </w:p>
    <w:p w:rsidR="004F271D" w:rsidRPr="00A7690B" w:rsidRDefault="00C307F5" w:rsidP="00D91F7E">
      <w:pPr>
        <w:pStyle w:val="ListParagraph"/>
        <w:numPr>
          <w:ilvl w:val="0"/>
          <w:numId w:val="6"/>
        </w:numPr>
        <w:jc w:val="both"/>
        <w:rPr>
          <w:rFonts w:ascii="Tahoma" w:hAnsi="Tahoma" w:cs="Tahoma"/>
          <w:b/>
          <w:sz w:val="22"/>
        </w:rPr>
      </w:pPr>
      <w:r>
        <w:rPr>
          <w:rFonts w:ascii="Tahoma" w:hAnsi="Tahoma" w:cs="Tahoma"/>
          <w:b/>
          <w:sz w:val="22"/>
        </w:rPr>
        <w:t>Ostale usluge (Šifra 3239</w:t>
      </w:r>
      <w:r w:rsidR="009076E3" w:rsidRPr="00A7690B">
        <w:rPr>
          <w:rFonts w:ascii="Tahoma" w:hAnsi="Tahoma" w:cs="Tahoma"/>
          <w:b/>
          <w:sz w:val="22"/>
        </w:rPr>
        <w:t>)</w:t>
      </w:r>
    </w:p>
    <w:p w:rsidR="004F271D" w:rsidRDefault="004F271D" w:rsidP="004F271D">
      <w:pPr>
        <w:jc w:val="both"/>
        <w:rPr>
          <w:rFonts w:ascii="Tahoma" w:hAnsi="Tahoma" w:cs="Tahoma"/>
          <w:sz w:val="22"/>
        </w:rPr>
      </w:pPr>
      <w:r w:rsidRPr="00BD4D08">
        <w:rPr>
          <w:rFonts w:ascii="Tahoma" w:hAnsi="Tahoma" w:cs="Tahoma"/>
          <w:sz w:val="22"/>
        </w:rPr>
        <w:t xml:space="preserve"> </w:t>
      </w:r>
    </w:p>
    <w:tbl>
      <w:tblPr>
        <w:tblW w:w="9214" w:type="dxa"/>
        <w:tblInd w:w="-5" w:type="dxa"/>
        <w:tblLook w:val="04A0" w:firstRow="1" w:lastRow="0" w:firstColumn="1" w:lastColumn="0" w:noHBand="0" w:noVBand="1"/>
      </w:tblPr>
      <w:tblGrid>
        <w:gridCol w:w="3261"/>
        <w:gridCol w:w="1984"/>
        <w:gridCol w:w="1843"/>
        <w:gridCol w:w="2126"/>
      </w:tblGrid>
      <w:tr w:rsidR="004F271D" w:rsidRPr="000172DA" w:rsidTr="004E687E">
        <w:trPr>
          <w:trHeight w:val="570"/>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71D" w:rsidRPr="000172DA" w:rsidRDefault="00F94454" w:rsidP="004E687E">
            <w:pPr>
              <w:jc w:val="center"/>
              <w:rPr>
                <w:rFonts w:ascii="Tahoma" w:hAnsi="Tahoma" w:cs="Tahoma"/>
                <w:b/>
                <w:bCs/>
                <w:lang w:eastAsia="hr-HR"/>
              </w:rPr>
            </w:pPr>
            <w:r>
              <w:rPr>
                <w:rFonts w:ascii="Tahoma" w:hAnsi="Tahoma" w:cs="Tahoma"/>
                <w:b/>
                <w:bCs/>
                <w:sz w:val="20"/>
                <w:lang w:eastAsia="hr-HR"/>
              </w:rPr>
              <w:t>Ostale usluge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F271D" w:rsidRPr="00BD4D08" w:rsidRDefault="004F271D" w:rsidP="004E687E">
            <w:pPr>
              <w:jc w:val="center"/>
              <w:rPr>
                <w:rFonts w:ascii="Tahoma" w:hAnsi="Tahoma" w:cs="Tahoma"/>
                <w:b/>
                <w:bCs/>
                <w:sz w:val="22"/>
                <w:lang w:eastAsia="hr-HR"/>
              </w:rPr>
            </w:pPr>
            <w:r w:rsidRPr="00BD4D08">
              <w:rPr>
                <w:rFonts w:ascii="Tahoma" w:hAnsi="Tahoma" w:cs="Tahoma"/>
                <w:b/>
                <w:bCs/>
                <w:sz w:val="22"/>
                <w:lang w:eastAsia="hr-HR"/>
              </w:rPr>
              <w:t xml:space="preserve">Izvršenje </w:t>
            </w:r>
            <w:r w:rsidRPr="00BD4D08">
              <w:rPr>
                <w:rFonts w:ascii="Tahoma" w:hAnsi="Tahoma" w:cs="Tahoma"/>
                <w:b/>
                <w:bCs/>
                <w:sz w:val="22"/>
                <w:lang w:eastAsia="hr-HR"/>
              </w:rPr>
              <w:br/>
              <w:t>202</w:t>
            </w:r>
            <w:r w:rsidR="00F94454">
              <w:rPr>
                <w:rFonts w:ascii="Tahoma" w:hAnsi="Tahoma" w:cs="Tahoma"/>
                <w:b/>
                <w:bCs/>
                <w:sz w:val="22"/>
                <w:lang w:eastAsia="hr-HR"/>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F271D" w:rsidRPr="00BD4D08" w:rsidRDefault="004F271D" w:rsidP="004E687E">
            <w:pPr>
              <w:jc w:val="center"/>
              <w:rPr>
                <w:rFonts w:ascii="Tahoma" w:hAnsi="Tahoma" w:cs="Tahoma"/>
                <w:b/>
                <w:bCs/>
                <w:sz w:val="22"/>
                <w:lang w:eastAsia="hr-HR"/>
              </w:rPr>
            </w:pPr>
            <w:r w:rsidRPr="00BD4D08">
              <w:rPr>
                <w:rFonts w:ascii="Tahoma" w:hAnsi="Tahoma" w:cs="Tahoma"/>
                <w:b/>
                <w:bCs/>
                <w:sz w:val="22"/>
                <w:lang w:eastAsia="hr-HR"/>
              </w:rPr>
              <w:t xml:space="preserve">Izvršenje </w:t>
            </w:r>
            <w:r w:rsidRPr="00BD4D08">
              <w:rPr>
                <w:rFonts w:ascii="Tahoma" w:hAnsi="Tahoma" w:cs="Tahoma"/>
                <w:b/>
                <w:bCs/>
                <w:sz w:val="22"/>
                <w:lang w:eastAsia="hr-HR"/>
              </w:rPr>
              <w:br/>
              <w:t>202</w:t>
            </w:r>
            <w:r w:rsidR="00F94454">
              <w:rPr>
                <w:rFonts w:ascii="Tahoma" w:hAnsi="Tahoma" w:cs="Tahoma"/>
                <w:b/>
                <w:bCs/>
                <w:sz w:val="22"/>
                <w:lang w:eastAsia="hr-HR"/>
              </w:rPr>
              <w:t>4</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4F271D" w:rsidRPr="00BD4D08" w:rsidRDefault="004F271D" w:rsidP="004E687E">
            <w:pPr>
              <w:jc w:val="center"/>
              <w:rPr>
                <w:rFonts w:ascii="Tahoma" w:hAnsi="Tahoma" w:cs="Tahoma"/>
                <w:b/>
                <w:bCs/>
                <w:sz w:val="22"/>
                <w:lang w:eastAsia="hr-HR"/>
              </w:rPr>
            </w:pPr>
            <w:r w:rsidRPr="00BD4D08">
              <w:rPr>
                <w:rFonts w:ascii="Tahoma" w:hAnsi="Tahoma" w:cs="Tahoma"/>
                <w:b/>
                <w:bCs/>
                <w:sz w:val="22"/>
                <w:lang w:eastAsia="hr-HR"/>
              </w:rPr>
              <w:t>Indeks</w:t>
            </w:r>
          </w:p>
          <w:p w:rsidR="004F271D" w:rsidRPr="00BD4D08" w:rsidRDefault="004F271D" w:rsidP="004E687E">
            <w:pPr>
              <w:jc w:val="center"/>
              <w:rPr>
                <w:rFonts w:ascii="Tahoma" w:hAnsi="Tahoma" w:cs="Tahoma"/>
                <w:b/>
                <w:bCs/>
                <w:sz w:val="22"/>
                <w:lang w:eastAsia="hr-HR"/>
              </w:rPr>
            </w:pPr>
            <w:r w:rsidRPr="00BD4D08">
              <w:rPr>
                <w:rFonts w:ascii="Tahoma" w:hAnsi="Tahoma" w:cs="Tahoma"/>
                <w:b/>
                <w:bCs/>
                <w:sz w:val="22"/>
                <w:lang w:eastAsia="hr-HR"/>
              </w:rPr>
              <w:t>202</w:t>
            </w:r>
            <w:r w:rsidR="00F94454">
              <w:rPr>
                <w:rFonts w:ascii="Tahoma" w:hAnsi="Tahoma" w:cs="Tahoma"/>
                <w:b/>
                <w:bCs/>
                <w:sz w:val="22"/>
                <w:lang w:eastAsia="hr-HR"/>
              </w:rPr>
              <w:t>4</w:t>
            </w:r>
            <w:r w:rsidRPr="00BD4D08">
              <w:rPr>
                <w:rFonts w:ascii="Tahoma" w:hAnsi="Tahoma" w:cs="Tahoma"/>
                <w:b/>
                <w:bCs/>
                <w:sz w:val="22"/>
                <w:lang w:eastAsia="hr-HR"/>
              </w:rPr>
              <w:t>/202</w:t>
            </w:r>
            <w:r w:rsidR="00F94454">
              <w:rPr>
                <w:rFonts w:ascii="Tahoma" w:hAnsi="Tahoma" w:cs="Tahoma"/>
                <w:b/>
                <w:bCs/>
                <w:sz w:val="22"/>
                <w:lang w:eastAsia="hr-HR"/>
              </w:rPr>
              <w:t>3</w:t>
            </w:r>
          </w:p>
        </w:tc>
      </w:tr>
      <w:tr w:rsidR="004F271D" w:rsidRPr="000172DA" w:rsidTr="002A66DF">
        <w:trPr>
          <w:trHeight w:val="320"/>
        </w:trPr>
        <w:tc>
          <w:tcPr>
            <w:tcW w:w="32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F271D" w:rsidRPr="000172DA" w:rsidRDefault="004F271D" w:rsidP="004E687E">
            <w:pPr>
              <w:rPr>
                <w:rFonts w:ascii="Tahoma" w:hAnsi="Tahoma" w:cs="Tahoma"/>
                <w:b/>
                <w:bCs/>
                <w:lang w:eastAsia="hr-HR"/>
              </w:rPr>
            </w:pPr>
          </w:p>
        </w:tc>
        <w:tc>
          <w:tcPr>
            <w:tcW w:w="1984" w:type="dxa"/>
            <w:tcBorders>
              <w:top w:val="nil"/>
              <w:left w:val="nil"/>
              <w:bottom w:val="single" w:sz="4" w:space="0" w:color="auto"/>
              <w:right w:val="single" w:sz="4" w:space="0" w:color="auto"/>
            </w:tcBorders>
            <w:shd w:val="clear" w:color="auto" w:fill="auto"/>
            <w:vAlign w:val="bottom"/>
            <w:hideMark/>
          </w:tcPr>
          <w:p w:rsidR="004F271D" w:rsidRPr="00BD4D08" w:rsidRDefault="00F94454" w:rsidP="004E687E">
            <w:pPr>
              <w:jc w:val="right"/>
              <w:rPr>
                <w:rFonts w:ascii="Tahoma" w:hAnsi="Tahoma" w:cs="Tahoma"/>
                <w:sz w:val="22"/>
                <w:lang w:eastAsia="hr-HR"/>
              </w:rPr>
            </w:pPr>
            <w:r>
              <w:rPr>
                <w:rFonts w:ascii="Tahoma" w:hAnsi="Tahoma" w:cs="Tahoma"/>
                <w:sz w:val="22"/>
                <w:lang w:eastAsia="hr-HR"/>
              </w:rPr>
              <w:t>4.049.935</w:t>
            </w:r>
          </w:p>
        </w:tc>
        <w:tc>
          <w:tcPr>
            <w:tcW w:w="1843" w:type="dxa"/>
            <w:tcBorders>
              <w:top w:val="nil"/>
              <w:left w:val="nil"/>
              <w:bottom w:val="single" w:sz="4" w:space="0" w:color="auto"/>
              <w:right w:val="single" w:sz="4" w:space="0" w:color="auto"/>
            </w:tcBorders>
            <w:shd w:val="clear" w:color="auto" w:fill="auto"/>
            <w:vAlign w:val="bottom"/>
            <w:hideMark/>
          </w:tcPr>
          <w:p w:rsidR="004F271D" w:rsidRPr="00BD4D08" w:rsidRDefault="00F94454" w:rsidP="004E687E">
            <w:pPr>
              <w:jc w:val="right"/>
              <w:rPr>
                <w:rFonts w:ascii="Tahoma" w:hAnsi="Tahoma" w:cs="Tahoma"/>
                <w:sz w:val="22"/>
                <w:lang w:eastAsia="hr-HR"/>
              </w:rPr>
            </w:pPr>
            <w:r>
              <w:rPr>
                <w:rFonts w:ascii="Tahoma" w:hAnsi="Tahoma" w:cs="Tahoma"/>
                <w:sz w:val="22"/>
                <w:lang w:eastAsia="hr-HR"/>
              </w:rPr>
              <w:t>4.779.416</w:t>
            </w:r>
          </w:p>
        </w:tc>
        <w:tc>
          <w:tcPr>
            <w:tcW w:w="2126" w:type="dxa"/>
            <w:tcBorders>
              <w:top w:val="nil"/>
              <w:left w:val="nil"/>
              <w:bottom w:val="single" w:sz="4" w:space="0" w:color="auto"/>
              <w:right w:val="single" w:sz="4" w:space="0" w:color="auto"/>
            </w:tcBorders>
            <w:shd w:val="clear" w:color="auto" w:fill="auto"/>
            <w:vAlign w:val="bottom"/>
            <w:hideMark/>
          </w:tcPr>
          <w:p w:rsidR="004F271D" w:rsidRPr="00BD4D08" w:rsidRDefault="00F94454" w:rsidP="004E687E">
            <w:pPr>
              <w:jc w:val="right"/>
              <w:rPr>
                <w:rFonts w:ascii="Tahoma" w:hAnsi="Tahoma" w:cs="Tahoma"/>
                <w:sz w:val="22"/>
                <w:lang w:eastAsia="hr-HR"/>
              </w:rPr>
            </w:pPr>
            <w:r>
              <w:rPr>
                <w:rFonts w:ascii="Tahoma" w:hAnsi="Tahoma" w:cs="Tahoma"/>
                <w:sz w:val="22"/>
                <w:lang w:eastAsia="hr-HR"/>
              </w:rPr>
              <w:t>1,18</w:t>
            </w:r>
          </w:p>
        </w:tc>
      </w:tr>
    </w:tbl>
    <w:p w:rsidR="004F271D" w:rsidRDefault="004F271D" w:rsidP="004F271D">
      <w:pPr>
        <w:jc w:val="both"/>
        <w:rPr>
          <w:rFonts w:ascii="Tahoma" w:hAnsi="Tahoma" w:cs="Tahoma"/>
        </w:rPr>
      </w:pPr>
    </w:p>
    <w:p w:rsidR="004F271D" w:rsidRPr="007A1C80" w:rsidRDefault="004F271D" w:rsidP="004F271D">
      <w:pPr>
        <w:jc w:val="both"/>
        <w:rPr>
          <w:rFonts w:ascii="Tahoma" w:hAnsi="Tahoma" w:cs="Tahoma"/>
          <w:sz w:val="22"/>
        </w:rPr>
      </w:pPr>
      <w:r w:rsidRPr="007A1C80">
        <w:rPr>
          <w:rFonts w:ascii="Tahoma" w:hAnsi="Tahoma" w:cs="Tahoma"/>
          <w:sz w:val="22"/>
        </w:rPr>
        <w:t xml:space="preserve">U </w:t>
      </w:r>
      <w:r w:rsidR="00F94454" w:rsidRPr="007A1C80">
        <w:rPr>
          <w:rFonts w:ascii="Tahoma" w:hAnsi="Tahoma" w:cs="Tahoma"/>
          <w:sz w:val="22"/>
          <w:szCs w:val="22"/>
        </w:rPr>
        <w:t>razdoblju od 1. siječnja do 31. prosinca 2024. godine</w:t>
      </w:r>
      <w:r w:rsidRPr="007A1C80">
        <w:rPr>
          <w:rFonts w:ascii="Tahoma" w:hAnsi="Tahoma" w:cs="Tahoma"/>
          <w:sz w:val="22"/>
        </w:rPr>
        <w:t xml:space="preserve"> </w:t>
      </w:r>
      <w:r w:rsidR="00DE3E2D">
        <w:rPr>
          <w:rFonts w:ascii="Tahoma" w:hAnsi="Tahoma" w:cs="Tahoma"/>
          <w:sz w:val="22"/>
        </w:rPr>
        <w:t>rashodi</w:t>
      </w:r>
      <w:r w:rsidRPr="007A1C80">
        <w:rPr>
          <w:rFonts w:ascii="Tahoma" w:hAnsi="Tahoma" w:cs="Tahoma"/>
          <w:sz w:val="22"/>
        </w:rPr>
        <w:t xml:space="preserve"> za ostale </w:t>
      </w:r>
      <w:r w:rsidR="00F94454" w:rsidRPr="007A1C80">
        <w:rPr>
          <w:rFonts w:ascii="Tahoma" w:hAnsi="Tahoma" w:cs="Tahoma"/>
          <w:sz w:val="22"/>
        </w:rPr>
        <w:t>usluge porasli su za 18,0</w:t>
      </w:r>
      <w:r w:rsidRPr="007A1C80">
        <w:rPr>
          <w:rFonts w:ascii="Tahoma" w:hAnsi="Tahoma" w:cs="Tahoma"/>
          <w:sz w:val="22"/>
        </w:rPr>
        <w:t xml:space="preserve">% u odnosu </w:t>
      </w:r>
      <w:r w:rsidR="00F94454" w:rsidRPr="007A1C80">
        <w:rPr>
          <w:rFonts w:ascii="Tahoma" w:hAnsi="Tahoma" w:cs="Tahoma"/>
          <w:sz w:val="22"/>
        </w:rPr>
        <w:t>na isto razdoblje prethodne godine</w:t>
      </w:r>
      <w:r w:rsidRPr="007A1C80">
        <w:rPr>
          <w:rFonts w:ascii="Tahoma" w:hAnsi="Tahoma" w:cs="Tahoma"/>
          <w:sz w:val="22"/>
        </w:rPr>
        <w:t xml:space="preserve">. </w:t>
      </w:r>
      <w:r w:rsidR="00F94454" w:rsidRPr="007A1C80">
        <w:rPr>
          <w:rFonts w:ascii="Tahoma" w:hAnsi="Tahoma" w:cs="Tahoma"/>
          <w:sz w:val="22"/>
        </w:rPr>
        <w:t xml:space="preserve">Pod ostale usluge spadaju usluge čišćenja, pranja rublja i slično. </w:t>
      </w:r>
    </w:p>
    <w:p w:rsidR="004F271D" w:rsidRDefault="004F271D" w:rsidP="004F271D">
      <w:pPr>
        <w:jc w:val="both"/>
        <w:rPr>
          <w:rFonts w:ascii="Tahoma" w:hAnsi="Tahoma" w:cs="Tahoma"/>
          <w:sz w:val="22"/>
        </w:rPr>
      </w:pPr>
    </w:p>
    <w:p w:rsidR="00731075" w:rsidRPr="003E42E4" w:rsidRDefault="00731075" w:rsidP="004F271D">
      <w:pPr>
        <w:jc w:val="both"/>
        <w:rPr>
          <w:rFonts w:ascii="Tahoma" w:hAnsi="Tahoma" w:cs="Tahoma"/>
          <w:sz w:val="22"/>
        </w:rPr>
      </w:pPr>
    </w:p>
    <w:p w:rsidR="007D464E" w:rsidRPr="003F74BB" w:rsidRDefault="000C567A" w:rsidP="007D464E">
      <w:pPr>
        <w:jc w:val="both"/>
        <w:rPr>
          <w:rFonts w:ascii="Tahoma" w:hAnsi="Tahoma" w:cs="Tahoma"/>
          <w:b/>
          <w:bCs/>
          <w:sz w:val="22"/>
          <w:szCs w:val="22"/>
        </w:rPr>
      </w:pPr>
      <w:r w:rsidRPr="00076768">
        <w:rPr>
          <w:rFonts w:ascii="Tahoma" w:hAnsi="Tahoma" w:cs="Tahoma"/>
          <w:b/>
          <w:sz w:val="22"/>
          <w:szCs w:val="22"/>
        </w:rPr>
        <w:t>2.3.</w:t>
      </w:r>
      <w:r w:rsidR="00A623F9" w:rsidRPr="00076768">
        <w:rPr>
          <w:rFonts w:ascii="Tahoma" w:hAnsi="Tahoma" w:cs="Tahoma"/>
          <w:b/>
          <w:bCs/>
        </w:rPr>
        <w:t xml:space="preserve">   </w:t>
      </w:r>
      <w:r w:rsidR="007D464E" w:rsidRPr="003F74BB">
        <w:rPr>
          <w:rFonts w:ascii="Tahoma" w:hAnsi="Tahoma" w:cs="Tahoma"/>
          <w:b/>
          <w:bCs/>
        </w:rPr>
        <w:t>FINANCIJSKI RASHODI</w:t>
      </w:r>
    </w:p>
    <w:p w:rsidR="007D464E" w:rsidRPr="003F74BB" w:rsidRDefault="007D464E" w:rsidP="007D464E">
      <w:pPr>
        <w:jc w:val="both"/>
        <w:rPr>
          <w:rFonts w:ascii="Tahoma" w:hAnsi="Tahoma" w:cs="Tahoma"/>
          <w:b/>
          <w:bCs/>
        </w:rPr>
      </w:pPr>
    </w:p>
    <w:p w:rsidR="007D464E" w:rsidRPr="003F74BB" w:rsidRDefault="007D464E" w:rsidP="007D464E">
      <w:pPr>
        <w:jc w:val="both"/>
        <w:rPr>
          <w:rFonts w:ascii="Tahoma" w:hAnsi="Tahoma" w:cs="Tahoma"/>
          <w:color w:val="FF0000"/>
          <w:sz w:val="22"/>
        </w:rPr>
      </w:pPr>
      <w:r w:rsidRPr="003F74BB">
        <w:rPr>
          <w:rFonts w:ascii="Tahoma" w:hAnsi="Tahoma" w:cs="Tahoma"/>
          <w:b/>
          <w:bCs/>
          <w:sz w:val="22"/>
          <w:u w:val="single"/>
        </w:rPr>
        <w:t>Financijski rashodi (Šifra 34)</w:t>
      </w:r>
      <w:r w:rsidRPr="003F74BB">
        <w:rPr>
          <w:rFonts w:ascii="Tahoma" w:hAnsi="Tahoma" w:cs="Tahoma"/>
          <w:sz w:val="22"/>
        </w:rPr>
        <w:t xml:space="preserve"> prema proračunskom računovodstvu u razdoblju </w:t>
      </w:r>
      <w:r w:rsidR="003F74BB" w:rsidRPr="003F74BB">
        <w:rPr>
          <w:rFonts w:ascii="Tahoma" w:hAnsi="Tahoma" w:cs="Tahoma"/>
          <w:sz w:val="22"/>
        </w:rPr>
        <w:t>od 1. siječnja do 31. prosinca 2024. godine</w:t>
      </w:r>
      <w:r w:rsidRPr="003F74BB">
        <w:rPr>
          <w:rFonts w:ascii="Tahoma" w:hAnsi="Tahoma" w:cs="Tahoma"/>
          <w:sz w:val="22"/>
        </w:rPr>
        <w:t xml:space="preserve"> ostvareni su u iznosu od 3.651.331 EUR što je višestruko povećanje </w:t>
      </w:r>
      <w:r w:rsidR="003F74BB">
        <w:rPr>
          <w:rFonts w:ascii="Tahoma" w:hAnsi="Tahoma" w:cs="Tahoma"/>
          <w:sz w:val="22"/>
        </w:rPr>
        <w:t>u odnosu na isto razdoblje prethodne</w:t>
      </w:r>
      <w:r w:rsidRPr="003F74BB">
        <w:rPr>
          <w:rFonts w:ascii="Tahoma" w:hAnsi="Tahoma" w:cs="Tahoma"/>
          <w:sz w:val="22"/>
        </w:rPr>
        <w:t xml:space="preserve"> godine. Povećanje se odnosi na primljene račune dobavljača </w:t>
      </w:r>
      <w:proofErr w:type="spellStart"/>
      <w:r w:rsidRPr="003F74BB">
        <w:rPr>
          <w:rFonts w:ascii="Tahoma" w:hAnsi="Tahoma" w:cs="Tahoma"/>
          <w:sz w:val="22"/>
        </w:rPr>
        <w:t>Oktal</w:t>
      </w:r>
      <w:proofErr w:type="spellEnd"/>
      <w:r w:rsidRPr="003F74BB">
        <w:rPr>
          <w:rFonts w:ascii="Tahoma" w:hAnsi="Tahoma" w:cs="Tahoma"/>
          <w:sz w:val="22"/>
        </w:rPr>
        <w:t xml:space="preserve"> </w:t>
      </w:r>
      <w:proofErr w:type="spellStart"/>
      <w:r w:rsidRPr="003F74BB">
        <w:rPr>
          <w:rFonts w:ascii="Tahoma" w:hAnsi="Tahoma" w:cs="Tahoma"/>
          <w:sz w:val="22"/>
        </w:rPr>
        <w:t>pharma</w:t>
      </w:r>
      <w:proofErr w:type="spellEnd"/>
      <w:r w:rsidRPr="003F74BB">
        <w:rPr>
          <w:rFonts w:ascii="Tahoma" w:hAnsi="Tahoma" w:cs="Tahoma"/>
          <w:sz w:val="22"/>
        </w:rPr>
        <w:t xml:space="preserve"> d.o.o. i Phoenix farmacija d.o.o. za zatezne zakonske kamate za zakašnjela plaćanja računa lijekova i medicinskog potrošnog materijala.</w:t>
      </w:r>
    </w:p>
    <w:p w:rsidR="007D464E" w:rsidRPr="001C4B65" w:rsidRDefault="007D464E" w:rsidP="007D464E">
      <w:pPr>
        <w:jc w:val="both"/>
        <w:rPr>
          <w:rFonts w:ascii="Tahoma" w:hAnsi="Tahoma" w:cs="Tahoma"/>
          <w:highlight w:val="lightGray"/>
        </w:rPr>
      </w:pPr>
    </w:p>
    <w:tbl>
      <w:tblPr>
        <w:tblW w:w="0" w:type="auto"/>
        <w:tblInd w:w="108" w:type="dxa"/>
        <w:tblCellMar>
          <w:left w:w="0" w:type="dxa"/>
          <w:right w:w="0" w:type="dxa"/>
        </w:tblCellMar>
        <w:tblLook w:val="04A0" w:firstRow="1" w:lastRow="0" w:firstColumn="1" w:lastColumn="0" w:noHBand="0" w:noVBand="1"/>
      </w:tblPr>
      <w:tblGrid>
        <w:gridCol w:w="2297"/>
        <w:gridCol w:w="1985"/>
        <w:gridCol w:w="1814"/>
        <w:gridCol w:w="2580"/>
      </w:tblGrid>
      <w:tr w:rsidR="007D464E" w:rsidRPr="001C4B65" w:rsidTr="007A1C80">
        <w:trPr>
          <w:trHeight w:val="609"/>
        </w:trPr>
        <w:tc>
          <w:tcPr>
            <w:tcW w:w="229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ind w:right="-41"/>
              <w:jc w:val="center"/>
              <w:rPr>
                <w:rFonts w:ascii="Tahoma" w:hAnsi="Tahoma" w:cs="Tahoma"/>
                <w:b/>
                <w:bCs/>
                <w:sz w:val="22"/>
                <w:szCs w:val="22"/>
              </w:rPr>
            </w:pPr>
            <w:r w:rsidRPr="003F74BB">
              <w:rPr>
                <w:rFonts w:ascii="Tahoma" w:hAnsi="Tahoma" w:cs="Tahoma"/>
                <w:b/>
                <w:bCs/>
                <w:sz w:val="22"/>
                <w:szCs w:val="22"/>
              </w:rPr>
              <w:lastRenderedPageBreak/>
              <w:t>Financijski rashodi</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Izvršenje</w:t>
            </w:r>
          </w:p>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2023</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 xml:space="preserve">Izvršenje </w:t>
            </w:r>
          </w:p>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2024</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Indeks</w:t>
            </w:r>
          </w:p>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2024/2023</w:t>
            </w:r>
          </w:p>
        </w:tc>
      </w:tr>
      <w:tr w:rsidR="007D464E" w:rsidRPr="00076768" w:rsidTr="007A1C80">
        <w:trPr>
          <w:trHeight w:val="447"/>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464E" w:rsidRPr="003F74BB" w:rsidRDefault="007D464E" w:rsidP="007A1C80">
            <w:pPr>
              <w:rPr>
                <w:rFonts w:ascii="Tahoma" w:eastAsiaTheme="minorHAnsi" w:hAnsi="Tahoma" w:cs="Tahoma"/>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right"/>
              <w:rPr>
                <w:rFonts w:ascii="Tahoma" w:hAnsi="Tahoma" w:cs="Tahoma"/>
                <w:b/>
                <w:bCs/>
                <w:sz w:val="22"/>
                <w:szCs w:val="22"/>
              </w:rPr>
            </w:pPr>
            <w:r w:rsidRPr="003F74BB">
              <w:rPr>
                <w:rFonts w:ascii="Tahoma" w:hAnsi="Tahoma" w:cs="Tahoma"/>
                <w:b/>
                <w:bCs/>
                <w:sz w:val="22"/>
                <w:szCs w:val="22"/>
              </w:rPr>
              <w:t>694.765</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right"/>
              <w:rPr>
                <w:rFonts w:ascii="Tahoma" w:hAnsi="Tahoma" w:cs="Tahoma"/>
                <w:b/>
                <w:bCs/>
                <w:sz w:val="22"/>
                <w:szCs w:val="22"/>
              </w:rPr>
            </w:pPr>
            <w:r w:rsidRPr="003F74BB">
              <w:rPr>
                <w:rFonts w:ascii="Tahoma" w:hAnsi="Tahoma" w:cs="Tahoma"/>
                <w:b/>
                <w:bCs/>
                <w:sz w:val="22"/>
                <w:szCs w:val="22"/>
              </w:rPr>
              <w:t>3.651.331</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right"/>
              <w:rPr>
                <w:rFonts w:ascii="Tahoma" w:hAnsi="Tahoma" w:cs="Tahoma"/>
                <w:b/>
                <w:bCs/>
                <w:sz w:val="22"/>
                <w:szCs w:val="22"/>
              </w:rPr>
            </w:pPr>
            <w:r w:rsidRPr="003F74BB">
              <w:rPr>
                <w:rFonts w:ascii="Tahoma" w:hAnsi="Tahoma" w:cs="Tahoma"/>
                <w:b/>
                <w:bCs/>
                <w:sz w:val="22"/>
                <w:szCs w:val="22"/>
              </w:rPr>
              <w:t>5,26</w:t>
            </w:r>
          </w:p>
        </w:tc>
      </w:tr>
    </w:tbl>
    <w:p w:rsidR="007D464E" w:rsidRPr="00076768" w:rsidRDefault="007D464E" w:rsidP="007D464E">
      <w:pPr>
        <w:jc w:val="both"/>
        <w:rPr>
          <w:rFonts w:ascii="Tahoma" w:hAnsi="Tahoma" w:cs="Tahoma"/>
          <w:sz w:val="22"/>
          <w:szCs w:val="22"/>
        </w:rPr>
      </w:pPr>
    </w:p>
    <w:p w:rsidR="007D464E" w:rsidRPr="00076768" w:rsidRDefault="007D464E" w:rsidP="007D464E">
      <w:pPr>
        <w:jc w:val="both"/>
        <w:rPr>
          <w:rFonts w:ascii="Tahoma" w:hAnsi="Tahoma" w:cs="Tahoma"/>
          <w:sz w:val="22"/>
          <w:szCs w:val="22"/>
        </w:rPr>
      </w:pPr>
    </w:p>
    <w:p w:rsidR="007D464E" w:rsidRPr="003F74BB" w:rsidRDefault="007D464E" w:rsidP="007D464E">
      <w:pPr>
        <w:jc w:val="both"/>
        <w:rPr>
          <w:rFonts w:ascii="Tahoma" w:hAnsi="Tahoma" w:cs="Tahoma"/>
          <w:b/>
          <w:bCs/>
          <w:sz w:val="22"/>
          <w:szCs w:val="22"/>
        </w:rPr>
      </w:pPr>
      <w:r w:rsidRPr="00076768">
        <w:rPr>
          <w:rFonts w:ascii="Tahoma" w:hAnsi="Tahoma" w:cs="Tahoma"/>
          <w:b/>
          <w:bCs/>
          <w:sz w:val="22"/>
          <w:szCs w:val="22"/>
        </w:rPr>
        <w:t>2.</w:t>
      </w:r>
      <w:r>
        <w:rPr>
          <w:rFonts w:ascii="Tahoma" w:hAnsi="Tahoma" w:cs="Tahoma"/>
          <w:b/>
          <w:bCs/>
          <w:sz w:val="22"/>
          <w:szCs w:val="22"/>
        </w:rPr>
        <w:t>4</w:t>
      </w:r>
      <w:r w:rsidRPr="00076768">
        <w:rPr>
          <w:rFonts w:ascii="Tahoma" w:hAnsi="Tahoma" w:cs="Tahoma"/>
          <w:b/>
          <w:bCs/>
          <w:sz w:val="22"/>
          <w:szCs w:val="22"/>
        </w:rPr>
        <w:t xml:space="preserve">.    </w:t>
      </w:r>
      <w:r w:rsidRPr="003F74BB">
        <w:rPr>
          <w:rFonts w:ascii="Tahoma" w:hAnsi="Tahoma" w:cs="Tahoma"/>
          <w:b/>
          <w:bCs/>
          <w:sz w:val="22"/>
          <w:szCs w:val="22"/>
        </w:rPr>
        <w:t>RASHODI ZA NABAVU NEFINANCIJSKE IMOVINE (KAPITALNA ULAGANJA)</w:t>
      </w:r>
    </w:p>
    <w:p w:rsidR="007D464E" w:rsidRPr="003F74BB" w:rsidRDefault="007D464E" w:rsidP="007D464E">
      <w:pPr>
        <w:pStyle w:val="ListParagraph"/>
        <w:jc w:val="both"/>
        <w:rPr>
          <w:rFonts w:ascii="Tahoma" w:hAnsi="Tahoma" w:cs="Tahoma"/>
          <w:sz w:val="22"/>
          <w:szCs w:val="22"/>
        </w:rPr>
      </w:pPr>
    </w:p>
    <w:p w:rsidR="007D464E" w:rsidRPr="003F74BB" w:rsidRDefault="007D464E" w:rsidP="007D464E">
      <w:pPr>
        <w:jc w:val="both"/>
        <w:rPr>
          <w:rFonts w:ascii="Tahoma" w:hAnsi="Tahoma" w:cs="Tahoma"/>
          <w:sz w:val="22"/>
          <w:szCs w:val="22"/>
        </w:rPr>
      </w:pPr>
      <w:r w:rsidRPr="003F74BB">
        <w:rPr>
          <w:rFonts w:ascii="Tahoma" w:hAnsi="Tahoma" w:cs="Tahoma"/>
          <w:b/>
          <w:bCs/>
          <w:sz w:val="22"/>
          <w:szCs w:val="22"/>
          <w:u w:val="single"/>
        </w:rPr>
        <w:t>Rashodi za nabavu nefinancijske imovine (Šifra 4)</w:t>
      </w:r>
      <w:r w:rsidRPr="003F74BB">
        <w:rPr>
          <w:rFonts w:ascii="Tahoma" w:hAnsi="Tahoma" w:cs="Tahoma"/>
          <w:sz w:val="22"/>
          <w:szCs w:val="22"/>
        </w:rPr>
        <w:t xml:space="preserve"> u razdoblju </w:t>
      </w:r>
      <w:r w:rsidR="003F74BB" w:rsidRPr="003F74BB">
        <w:rPr>
          <w:rFonts w:ascii="Tahoma" w:hAnsi="Tahoma" w:cs="Tahoma"/>
          <w:sz w:val="22"/>
        </w:rPr>
        <w:t>od 1. siječnja do 31. prosinca 2024. godine</w:t>
      </w:r>
      <w:r w:rsidRPr="003F74BB">
        <w:rPr>
          <w:rFonts w:ascii="Tahoma" w:hAnsi="Tahoma" w:cs="Tahoma"/>
          <w:sz w:val="22"/>
          <w:szCs w:val="22"/>
        </w:rPr>
        <w:t xml:space="preserve"> ostvareni su u iznosu od 81.860.093 EUR</w:t>
      </w:r>
      <w:r w:rsidRPr="003F74BB">
        <w:rPr>
          <w:rFonts w:ascii="Tahoma" w:hAnsi="Tahoma" w:cs="Tahoma"/>
          <w:sz w:val="22"/>
          <w:szCs w:val="22"/>
          <w:lang w:eastAsia="hr-HR"/>
        </w:rPr>
        <w:t xml:space="preserve"> što je za 53,3% više u odnosu </w:t>
      </w:r>
      <w:r w:rsidR="003F74BB">
        <w:rPr>
          <w:rFonts w:ascii="Tahoma" w:hAnsi="Tahoma" w:cs="Tahoma"/>
          <w:sz w:val="22"/>
          <w:szCs w:val="22"/>
        </w:rPr>
        <w:t>na isto razdoblje prethodne</w:t>
      </w:r>
      <w:r w:rsidRPr="003F74BB">
        <w:rPr>
          <w:rFonts w:ascii="Tahoma" w:hAnsi="Tahoma" w:cs="Tahoma"/>
          <w:sz w:val="22"/>
          <w:szCs w:val="22"/>
        </w:rPr>
        <w:t xml:space="preserve"> godine. </w:t>
      </w:r>
    </w:p>
    <w:p w:rsidR="007D464E" w:rsidRPr="005E6D02" w:rsidRDefault="007D464E" w:rsidP="007D464E">
      <w:pPr>
        <w:jc w:val="both"/>
        <w:rPr>
          <w:rFonts w:ascii="Tahoma" w:hAnsi="Tahoma" w:cs="Tahoma"/>
          <w:sz w:val="22"/>
          <w:szCs w:val="22"/>
          <w:highlight w:val="lightGray"/>
        </w:rPr>
      </w:pPr>
    </w:p>
    <w:tbl>
      <w:tblPr>
        <w:tblW w:w="0" w:type="auto"/>
        <w:tblInd w:w="108" w:type="dxa"/>
        <w:tblCellMar>
          <w:left w:w="0" w:type="dxa"/>
          <w:right w:w="0" w:type="dxa"/>
        </w:tblCellMar>
        <w:tblLook w:val="04A0" w:firstRow="1" w:lastRow="0" w:firstColumn="1" w:lastColumn="0" w:noHBand="0" w:noVBand="1"/>
      </w:tblPr>
      <w:tblGrid>
        <w:gridCol w:w="2155"/>
        <w:gridCol w:w="1985"/>
        <w:gridCol w:w="1984"/>
        <w:gridCol w:w="2552"/>
      </w:tblGrid>
      <w:tr w:rsidR="007D464E" w:rsidRPr="005E6D02" w:rsidTr="007A1C80">
        <w:trPr>
          <w:trHeight w:val="609"/>
        </w:trPr>
        <w:tc>
          <w:tcPr>
            <w:tcW w:w="21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ind w:right="-41"/>
              <w:jc w:val="center"/>
              <w:rPr>
                <w:rFonts w:ascii="Tahoma" w:hAnsi="Tahoma" w:cs="Tahoma"/>
                <w:b/>
                <w:bCs/>
                <w:sz w:val="22"/>
                <w:szCs w:val="22"/>
              </w:rPr>
            </w:pPr>
            <w:r w:rsidRPr="003F74BB">
              <w:rPr>
                <w:rFonts w:ascii="Tahoma" w:hAnsi="Tahoma" w:cs="Tahoma"/>
                <w:b/>
                <w:bCs/>
                <w:sz w:val="22"/>
                <w:szCs w:val="22"/>
              </w:rPr>
              <w:t>Rashodi za nabavu nefinancijske imovine</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Izvršenje</w:t>
            </w:r>
          </w:p>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2023</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Izvršenje</w:t>
            </w:r>
          </w:p>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2024</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Indeks</w:t>
            </w:r>
          </w:p>
          <w:p w:rsidR="007D464E" w:rsidRPr="003F74BB" w:rsidRDefault="007D464E" w:rsidP="007A1C80">
            <w:pPr>
              <w:jc w:val="center"/>
              <w:rPr>
                <w:rFonts w:ascii="Tahoma" w:hAnsi="Tahoma" w:cs="Tahoma"/>
                <w:b/>
                <w:bCs/>
                <w:sz w:val="22"/>
                <w:szCs w:val="22"/>
              </w:rPr>
            </w:pPr>
            <w:r w:rsidRPr="003F74BB">
              <w:rPr>
                <w:rFonts w:ascii="Tahoma" w:hAnsi="Tahoma" w:cs="Tahoma"/>
                <w:b/>
                <w:bCs/>
                <w:sz w:val="22"/>
                <w:szCs w:val="22"/>
              </w:rPr>
              <w:t>2024/2023</w:t>
            </w:r>
          </w:p>
        </w:tc>
      </w:tr>
      <w:tr w:rsidR="007D464E" w:rsidRPr="005E6D02" w:rsidTr="007A1C80">
        <w:trPr>
          <w:trHeight w:val="447"/>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464E" w:rsidRPr="003F74BB" w:rsidRDefault="007D464E" w:rsidP="007A1C80">
            <w:pPr>
              <w:rPr>
                <w:rFonts w:ascii="Tahoma" w:eastAsiaTheme="minorHAnsi" w:hAnsi="Tahoma" w:cs="Tahoma"/>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right"/>
              <w:rPr>
                <w:rFonts w:ascii="Tahoma" w:hAnsi="Tahoma" w:cs="Tahoma"/>
                <w:b/>
                <w:bCs/>
                <w:sz w:val="22"/>
                <w:szCs w:val="22"/>
              </w:rPr>
            </w:pPr>
            <w:r w:rsidRPr="003F74BB">
              <w:rPr>
                <w:rFonts w:ascii="Tahoma" w:hAnsi="Tahoma" w:cs="Tahoma"/>
                <w:b/>
                <w:bCs/>
                <w:sz w:val="22"/>
                <w:szCs w:val="22"/>
              </w:rPr>
              <w:t>53.381.786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right"/>
              <w:rPr>
                <w:rFonts w:ascii="Tahoma" w:hAnsi="Tahoma" w:cs="Tahoma"/>
                <w:b/>
                <w:bCs/>
                <w:sz w:val="22"/>
                <w:szCs w:val="22"/>
              </w:rPr>
            </w:pPr>
            <w:r w:rsidRPr="003F74BB">
              <w:rPr>
                <w:rFonts w:ascii="Tahoma" w:hAnsi="Tahoma" w:cs="Tahoma"/>
                <w:b/>
                <w:bCs/>
                <w:sz w:val="22"/>
                <w:szCs w:val="22"/>
              </w:rPr>
              <w:t>81.860.093</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464E" w:rsidRPr="003F74BB" w:rsidRDefault="007D464E" w:rsidP="007A1C80">
            <w:pPr>
              <w:jc w:val="right"/>
              <w:rPr>
                <w:rFonts w:ascii="Tahoma" w:hAnsi="Tahoma" w:cs="Tahoma"/>
                <w:b/>
                <w:bCs/>
                <w:sz w:val="22"/>
                <w:szCs w:val="22"/>
              </w:rPr>
            </w:pPr>
            <w:r w:rsidRPr="003F74BB">
              <w:rPr>
                <w:rFonts w:ascii="Tahoma" w:hAnsi="Tahoma" w:cs="Tahoma"/>
                <w:b/>
                <w:bCs/>
                <w:sz w:val="22"/>
                <w:szCs w:val="22"/>
              </w:rPr>
              <w:t>1,53</w:t>
            </w:r>
          </w:p>
        </w:tc>
      </w:tr>
    </w:tbl>
    <w:p w:rsidR="007D464E" w:rsidRPr="005E6D02" w:rsidRDefault="007D464E" w:rsidP="007D464E">
      <w:pPr>
        <w:rPr>
          <w:rFonts w:ascii="Tahoma" w:eastAsiaTheme="minorHAnsi" w:hAnsi="Tahoma" w:cs="Tahoma"/>
          <w:sz w:val="22"/>
          <w:szCs w:val="22"/>
          <w:highlight w:val="lightGray"/>
        </w:rPr>
      </w:pPr>
    </w:p>
    <w:p w:rsidR="007D464E" w:rsidRPr="003F74BB" w:rsidRDefault="007D464E" w:rsidP="007D464E">
      <w:pPr>
        <w:jc w:val="both"/>
        <w:rPr>
          <w:rFonts w:ascii="Tahoma" w:hAnsi="Tahoma" w:cs="Tahoma"/>
          <w:sz w:val="22"/>
          <w:szCs w:val="22"/>
        </w:rPr>
      </w:pPr>
      <w:r w:rsidRPr="003F74BB">
        <w:rPr>
          <w:rFonts w:ascii="Tahoma" w:hAnsi="Tahoma" w:cs="Tahoma"/>
          <w:sz w:val="22"/>
          <w:szCs w:val="22"/>
        </w:rPr>
        <w:t>Od navedenih rashoda najveći dio odnosi se na dodatna ulaganja na građevinskim objektima (59.012.219 EUR), rashode za nabavu medicinske i laboratorijske opreme (13.878.078 EUR), te ulaganja u poslovne objekte (6.208.484 EUR).</w:t>
      </w:r>
    </w:p>
    <w:p w:rsidR="007D464E" w:rsidRPr="003F74BB" w:rsidRDefault="007D464E" w:rsidP="007D464E">
      <w:pPr>
        <w:rPr>
          <w:rFonts w:ascii="Tahoma" w:hAnsi="Tahoma" w:cs="Tahoma"/>
          <w:sz w:val="22"/>
          <w:szCs w:val="22"/>
        </w:rPr>
      </w:pPr>
    </w:p>
    <w:p w:rsidR="007D464E" w:rsidRPr="003F74BB" w:rsidRDefault="007D464E" w:rsidP="007D464E">
      <w:pPr>
        <w:jc w:val="both"/>
        <w:rPr>
          <w:rFonts w:ascii="Tahoma" w:hAnsi="Tahoma" w:cs="Tahoma"/>
          <w:sz w:val="22"/>
          <w:szCs w:val="22"/>
        </w:rPr>
      </w:pPr>
      <w:r w:rsidRPr="003F74BB">
        <w:rPr>
          <w:rFonts w:ascii="Tahoma" w:hAnsi="Tahoma" w:cs="Tahoma"/>
          <w:sz w:val="22"/>
          <w:szCs w:val="22"/>
        </w:rPr>
        <w:t xml:space="preserve">Najznačajnija dodatna ulaganja na građevinskim objektima odnose se na radove na obnovi šteta od potresa za Projekt obnove od potresa bolnice Petrove 13 (FSEU.2021.MZ.004.), Projekt obnove od potresa Klinike za plućne bolesti KBC-a Zagreb na lokaciji </w:t>
      </w:r>
      <w:proofErr w:type="spellStart"/>
      <w:r w:rsidRPr="003F74BB">
        <w:rPr>
          <w:rFonts w:ascii="Tahoma" w:hAnsi="Tahoma" w:cs="Tahoma"/>
          <w:sz w:val="22"/>
          <w:szCs w:val="22"/>
        </w:rPr>
        <w:t>Jordanovac</w:t>
      </w:r>
      <w:proofErr w:type="spellEnd"/>
      <w:r w:rsidRPr="003F74BB">
        <w:rPr>
          <w:rFonts w:ascii="Tahoma" w:hAnsi="Tahoma" w:cs="Tahoma"/>
          <w:sz w:val="22"/>
          <w:szCs w:val="22"/>
        </w:rPr>
        <w:t xml:space="preserve"> (FSEU.2021.MZ.010.), Projekt cjelovite obnove od potresa Glavne zgrade KBC-a Zagreb na lokaciji </w:t>
      </w:r>
      <w:proofErr w:type="spellStart"/>
      <w:r w:rsidRPr="003F74BB">
        <w:rPr>
          <w:rFonts w:ascii="Tahoma" w:hAnsi="Tahoma" w:cs="Tahoma"/>
          <w:sz w:val="22"/>
          <w:szCs w:val="22"/>
        </w:rPr>
        <w:t>Kišpatićeva</w:t>
      </w:r>
      <w:proofErr w:type="spellEnd"/>
      <w:r w:rsidRPr="003F74BB">
        <w:rPr>
          <w:rFonts w:ascii="Tahoma" w:hAnsi="Tahoma" w:cs="Tahoma"/>
          <w:sz w:val="22"/>
          <w:szCs w:val="22"/>
        </w:rPr>
        <w:t xml:space="preserve"> 12 (FSEU.2021.MZ.024.) i Projekt cjelovite obnove od potresa Žute zgrade u sklopu kompleksa KBC-a Rebro (FSEU.2021.MZ.035.) u ukupnom iznosu od 56.218.267 EUR. Značajnija dodatna ulaganja na građevinskim objektima odnose se na uređenje prostora za smještaj MR 3T uređaja, adaptaciju dijela prizemlja Objedinjenog hitnog bol</w:t>
      </w:r>
      <w:r w:rsidR="00731075">
        <w:rPr>
          <w:rFonts w:ascii="Tahoma" w:hAnsi="Tahoma" w:cs="Tahoma"/>
          <w:sz w:val="22"/>
          <w:szCs w:val="22"/>
        </w:rPr>
        <w:t xml:space="preserve">ničkog prijema za smještaj CT-a, </w:t>
      </w:r>
      <w:r w:rsidRPr="003F74BB">
        <w:rPr>
          <w:rFonts w:ascii="Tahoma" w:hAnsi="Tahoma" w:cs="Tahoma"/>
          <w:sz w:val="22"/>
          <w:szCs w:val="22"/>
        </w:rPr>
        <w:t>adaptaciju prostora za preseljenje dij</w:t>
      </w:r>
      <w:r w:rsidR="00731075">
        <w:rPr>
          <w:rFonts w:ascii="Tahoma" w:hAnsi="Tahoma" w:cs="Tahoma"/>
          <w:sz w:val="22"/>
          <w:szCs w:val="22"/>
        </w:rPr>
        <w:t xml:space="preserve">ela centralne ljekarne i CPC-a </w:t>
      </w:r>
      <w:r w:rsidRPr="003F74BB">
        <w:rPr>
          <w:rFonts w:ascii="Tahoma" w:hAnsi="Tahoma" w:cs="Tahoma"/>
          <w:sz w:val="22"/>
          <w:szCs w:val="22"/>
        </w:rPr>
        <w:t>te radove na rekonstrukciji i adaptaciji prostora za smještaj linearnih akceler</w:t>
      </w:r>
      <w:r w:rsidR="00731075">
        <w:rPr>
          <w:rFonts w:ascii="Tahoma" w:hAnsi="Tahoma" w:cs="Tahoma"/>
          <w:sz w:val="22"/>
          <w:szCs w:val="22"/>
        </w:rPr>
        <w:t>atora na lokaciji Rebro.</w:t>
      </w:r>
    </w:p>
    <w:p w:rsidR="007D464E" w:rsidRPr="003F74BB" w:rsidRDefault="007D464E" w:rsidP="007D464E">
      <w:pPr>
        <w:jc w:val="both"/>
        <w:rPr>
          <w:rFonts w:ascii="Tahoma" w:hAnsi="Tahoma" w:cs="Tahoma"/>
          <w:sz w:val="22"/>
          <w:szCs w:val="22"/>
        </w:rPr>
      </w:pPr>
    </w:p>
    <w:p w:rsidR="007D464E" w:rsidRPr="003F74BB" w:rsidRDefault="007D464E" w:rsidP="007D464E">
      <w:pPr>
        <w:jc w:val="both"/>
        <w:rPr>
          <w:rFonts w:ascii="Tahoma" w:hAnsi="Tahoma" w:cs="Tahoma"/>
          <w:sz w:val="22"/>
          <w:szCs w:val="22"/>
        </w:rPr>
      </w:pPr>
      <w:r w:rsidRPr="003F74BB">
        <w:rPr>
          <w:rFonts w:ascii="Tahoma" w:hAnsi="Tahoma" w:cs="Tahoma"/>
          <w:sz w:val="22"/>
          <w:szCs w:val="22"/>
        </w:rPr>
        <w:t xml:space="preserve">Najznačajnija ulaganja u medicinsku i laboratorijsku opremu odnose na ulaganja u višenamjenski sustav za robotsku kirurgiju, endoskopske stupove, MR uređaj za potrebe Odjela za </w:t>
      </w:r>
      <w:proofErr w:type="spellStart"/>
      <w:r w:rsidRPr="003F74BB">
        <w:rPr>
          <w:rFonts w:ascii="Tahoma" w:hAnsi="Tahoma" w:cs="Tahoma"/>
          <w:sz w:val="22"/>
          <w:szCs w:val="22"/>
        </w:rPr>
        <w:t>muskuloskeletnu</w:t>
      </w:r>
      <w:proofErr w:type="spellEnd"/>
      <w:r w:rsidRPr="003F74BB">
        <w:rPr>
          <w:rFonts w:ascii="Tahoma" w:hAnsi="Tahoma" w:cs="Tahoma"/>
          <w:sz w:val="22"/>
          <w:szCs w:val="22"/>
        </w:rPr>
        <w:t xml:space="preserve"> radiologiju, UZV uređaj za potrebe Klinike za ženske bolesti i porode, oprem</w:t>
      </w:r>
      <w:r w:rsidR="00FD2A01">
        <w:rPr>
          <w:rFonts w:ascii="Tahoma" w:hAnsi="Tahoma" w:cs="Tahoma"/>
          <w:sz w:val="22"/>
          <w:szCs w:val="22"/>
        </w:rPr>
        <w:t>u</w:t>
      </w:r>
      <w:r w:rsidRPr="003F74BB">
        <w:rPr>
          <w:rFonts w:ascii="Tahoma" w:hAnsi="Tahoma" w:cs="Tahoma"/>
          <w:sz w:val="22"/>
          <w:szCs w:val="22"/>
        </w:rPr>
        <w:t xml:space="preserve"> za audiološku dijagnostiku, digitalni RTG uređaj za potrebe OBP i sustav za </w:t>
      </w:r>
      <w:proofErr w:type="spellStart"/>
      <w:r w:rsidRPr="003F74BB">
        <w:rPr>
          <w:rFonts w:ascii="Tahoma" w:hAnsi="Tahoma" w:cs="Tahoma"/>
          <w:sz w:val="22"/>
          <w:szCs w:val="22"/>
        </w:rPr>
        <w:t>neuronavigaciju</w:t>
      </w:r>
      <w:proofErr w:type="spellEnd"/>
      <w:r w:rsidRPr="003F74BB">
        <w:rPr>
          <w:rFonts w:ascii="Tahoma" w:hAnsi="Tahoma" w:cs="Tahoma"/>
          <w:sz w:val="22"/>
          <w:szCs w:val="22"/>
        </w:rPr>
        <w:t xml:space="preserve"> za potrebe neurokirurgi</w:t>
      </w:r>
      <w:r w:rsidR="009616A4">
        <w:rPr>
          <w:rFonts w:ascii="Tahoma" w:hAnsi="Tahoma" w:cs="Tahoma"/>
          <w:sz w:val="22"/>
          <w:szCs w:val="22"/>
        </w:rPr>
        <w:t>je.</w:t>
      </w:r>
    </w:p>
    <w:p w:rsidR="007D464E" w:rsidRPr="003F74BB" w:rsidRDefault="007D464E" w:rsidP="007D464E">
      <w:pPr>
        <w:jc w:val="both"/>
        <w:rPr>
          <w:rFonts w:ascii="Tahoma" w:hAnsi="Tahoma" w:cs="Tahoma"/>
          <w:sz w:val="22"/>
          <w:szCs w:val="22"/>
        </w:rPr>
      </w:pPr>
    </w:p>
    <w:p w:rsidR="007D464E" w:rsidRPr="003F74BB" w:rsidRDefault="007D464E" w:rsidP="007D464E">
      <w:pPr>
        <w:jc w:val="both"/>
        <w:rPr>
          <w:rFonts w:ascii="Tahoma" w:hAnsi="Tahoma" w:cs="Tahoma"/>
          <w:sz w:val="22"/>
          <w:szCs w:val="22"/>
        </w:rPr>
      </w:pPr>
      <w:r w:rsidRPr="003F74BB">
        <w:rPr>
          <w:rFonts w:ascii="Tahoma" w:hAnsi="Tahoma" w:cs="Tahoma"/>
          <w:sz w:val="22"/>
          <w:szCs w:val="22"/>
        </w:rPr>
        <w:t xml:space="preserve">Najznačajnija ulaganja u poslovne objekte odnose se na komunalni doprinos za rekonstrukciju zgrade javne i društvene namjene „Faza III“ za izgradnju garaže kao prateće građevine koja upotpunjuje osnovnu namjenu te rekonstrukciju interne </w:t>
      </w:r>
      <w:r w:rsidR="00D0675C">
        <w:rPr>
          <w:rFonts w:ascii="Tahoma" w:hAnsi="Tahoma" w:cs="Tahoma"/>
          <w:sz w:val="22"/>
          <w:szCs w:val="22"/>
        </w:rPr>
        <w:t>prometnice</w:t>
      </w:r>
      <w:r w:rsidRPr="003F74BB">
        <w:rPr>
          <w:rFonts w:ascii="Tahoma" w:hAnsi="Tahoma" w:cs="Tahoma"/>
          <w:sz w:val="22"/>
          <w:szCs w:val="22"/>
        </w:rPr>
        <w:t xml:space="preserve">, ulaganje u projektiranje, stručni nadzor, izradu i montažu privremenog objekta za smještaj </w:t>
      </w:r>
      <w:r w:rsidR="00D0675C">
        <w:rPr>
          <w:rFonts w:ascii="Tahoma" w:hAnsi="Tahoma" w:cs="Tahoma"/>
          <w:sz w:val="22"/>
          <w:szCs w:val="22"/>
        </w:rPr>
        <w:t>bolničke kuhinje</w:t>
      </w:r>
      <w:r w:rsidRPr="003F74BB">
        <w:rPr>
          <w:rFonts w:ascii="Tahoma" w:hAnsi="Tahoma" w:cs="Tahoma"/>
          <w:sz w:val="22"/>
          <w:szCs w:val="22"/>
        </w:rPr>
        <w:t>, izradu glavnog i izvedbenog projekta te ishođenje građevinske dozvole za građevinske radove za potrebe smještaja linearnog akcelerator</w:t>
      </w:r>
      <w:r w:rsidR="00D0675C">
        <w:rPr>
          <w:rFonts w:ascii="Tahoma" w:hAnsi="Tahoma" w:cs="Tahoma"/>
          <w:sz w:val="22"/>
          <w:szCs w:val="22"/>
        </w:rPr>
        <w:t>a na lokaciji Rebro</w:t>
      </w:r>
      <w:r w:rsidRPr="003F74BB">
        <w:rPr>
          <w:rFonts w:ascii="Tahoma" w:hAnsi="Tahoma" w:cs="Tahoma"/>
          <w:sz w:val="22"/>
          <w:szCs w:val="22"/>
        </w:rPr>
        <w:t>.</w:t>
      </w:r>
    </w:p>
    <w:p w:rsidR="007D464E" w:rsidRDefault="007D464E" w:rsidP="007D464E">
      <w:pPr>
        <w:rPr>
          <w:rFonts w:ascii="Tahoma" w:hAnsi="Tahoma" w:cs="Tahoma"/>
          <w:color w:val="0000FF"/>
          <w:highlight w:val="yellow"/>
        </w:rPr>
      </w:pPr>
    </w:p>
    <w:p w:rsidR="007D464E" w:rsidRPr="0048312B" w:rsidRDefault="007D464E" w:rsidP="007D464E">
      <w:pPr>
        <w:jc w:val="both"/>
        <w:rPr>
          <w:rFonts w:ascii="Tahoma" w:hAnsi="Tahoma" w:cs="Tahoma"/>
          <w:sz w:val="22"/>
          <w:szCs w:val="22"/>
        </w:rPr>
      </w:pPr>
      <w:r w:rsidRPr="0048312B">
        <w:rPr>
          <w:rFonts w:ascii="Tahoma" w:hAnsi="Tahoma" w:cs="Tahoma"/>
          <w:sz w:val="22"/>
          <w:szCs w:val="22"/>
        </w:rPr>
        <w:t xml:space="preserve">Najznačajnija ulaganja u uredsku opremu i namještaj odnose se na nabavu </w:t>
      </w:r>
      <w:r w:rsidR="00210DBD">
        <w:rPr>
          <w:rFonts w:ascii="Tahoma" w:hAnsi="Tahoma" w:cs="Tahoma"/>
          <w:sz w:val="22"/>
          <w:szCs w:val="22"/>
        </w:rPr>
        <w:t xml:space="preserve">računala i monitora </w:t>
      </w:r>
      <w:r w:rsidRPr="0048312B">
        <w:rPr>
          <w:rFonts w:ascii="Tahoma" w:hAnsi="Tahoma" w:cs="Tahoma"/>
          <w:sz w:val="22"/>
          <w:szCs w:val="22"/>
        </w:rPr>
        <w:t>te mrežnu opremu za opremanje prostora u projektu cj</w:t>
      </w:r>
      <w:r w:rsidR="00210DBD">
        <w:rPr>
          <w:rFonts w:ascii="Tahoma" w:hAnsi="Tahoma" w:cs="Tahoma"/>
          <w:sz w:val="22"/>
          <w:szCs w:val="22"/>
        </w:rPr>
        <w:t>elovite obnove od potresa</w:t>
      </w:r>
      <w:r w:rsidRPr="0048312B">
        <w:rPr>
          <w:rFonts w:ascii="Tahoma" w:hAnsi="Tahoma" w:cs="Tahoma"/>
          <w:sz w:val="22"/>
          <w:szCs w:val="22"/>
        </w:rPr>
        <w:t>.</w:t>
      </w:r>
    </w:p>
    <w:p w:rsidR="007D464E" w:rsidRPr="0048312B" w:rsidRDefault="007D464E" w:rsidP="007D464E">
      <w:pPr>
        <w:jc w:val="both"/>
        <w:rPr>
          <w:rFonts w:ascii="Tahoma" w:hAnsi="Tahoma" w:cs="Tahoma"/>
          <w:sz w:val="22"/>
          <w:szCs w:val="22"/>
        </w:rPr>
      </w:pPr>
    </w:p>
    <w:p w:rsidR="007D464E" w:rsidRPr="005C31BC" w:rsidRDefault="007D464E" w:rsidP="007D464E">
      <w:pPr>
        <w:jc w:val="both"/>
        <w:rPr>
          <w:rFonts w:ascii="Tahoma" w:hAnsi="Tahoma" w:cs="Tahoma"/>
          <w:sz w:val="22"/>
          <w:szCs w:val="22"/>
        </w:rPr>
      </w:pPr>
      <w:r w:rsidRPr="0048312B">
        <w:rPr>
          <w:rFonts w:ascii="Tahoma" w:hAnsi="Tahoma" w:cs="Tahoma"/>
          <w:sz w:val="22"/>
          <w:szCs w:val="22"/>
        </w:rPr>
        <w:t xml:space="preserve">Najznačajnija ulaganja u računalne programe odnose se na </w:t>
      </w:r>
      <w:proofErr w:type="spellStart"/>
      <w:r w:rsidRPr="0048312B">
        <w:rPr>
          <w:rFonts w:ascii="Tahoma" w:hAnsi="Tahoma" w:cs="Tahoma"/>
          <w:sz w:val="22"/>
          <w:szCs w:val="22"/>
        </w:rPr>
        <w:t>reimplementaciju</w:t>
      </w:r>
      <w:proofErr w:type="spellEnd"/>
      <w:r w:rsidRPr="0048312B">
        <w:rPr>
          <w:rFonts w:ascii="Tahoma" w:hAnsi="Tahoma" w:cs="Tahoma"/>
          <w:sz w:val="22"/>
          <w:szCs w:val="22"/>
        </w:rPr>
        <w:t xml:space="preserve"> bolničkog inf</w:t>
      </w:r>
      <w:r w:rsidR="00812B13">
        <w:rPr>
          <w:rFonts w:ascii="Tahoma" w:hAnsi="Tahoma" w:cs="Tahoma"/>
          <w:sz w:val="22"/>
          <w:szCs w:val="22"/>
        </w:rPr>
        <w:t>ormacijskog sustav</w:t>
      </w:r>
      <w:r w:rsidRPr="0048312B">
        <w:rPr>
          <w:rFonts w:ascii="Tahoma" w:hAnsi="Tahoma" w:cs="Tahoma"/>
          <w:sz w:val="22"/>
          <w:szCs w:val="22"/>
        </w:rPr>
        <w:t xml:space="preserve">, nabavu programskog paketa za </w:t>
      </w:r>
      <w:proofErr w:type="spellStart"/>
      <w:r w:rsidRPr="00413F3F">
        <w:rPr>
          <w:rFonts w:ascii="Tahoma" w:hAnsi="Tahoma" w:cs="Tahoma"/>
          <w:sz w:val="22"/>
          <w:szCs w:val="22"/>
        </w:rPr>
        <w:t>kar</w:t>
      </w:r>
      <w:r w:rsidR="00413F3F" w:rsidRPr="00413F3F">
        <w:rPr>
          <w:rFonts w:ascii="Tahoma" w:hAnsi="Tahoma" w:cs="Tahoma"/>
          <w:sz w:val="22"/>
          <w:szCs w:val="22"/>
        </w:rPr>
        <w:t>i</w:t>
      </w:r>
      <w:r w:rsidRPr="00413F3F">
        <w:rPr>
          <w:rFonts w:ascii="Tahoma" w:hAnsi="Tahoma" w:cs="Tahoma"/>
          <w:sz w:val="22"/>
          <w:szCs w:val="22"/>
        </w:rPr>
        <w:t>otipizaciju</w:t>
      </w:r>
      <w:proofErr w:type="spellEnd"/>
      <w:r w:rsidRPr="0048312B">
        <w:rPr>
          <w:rFonts w:ascii="Tahoma" w:hAnsi="Tahoma" w:cs="Tahoma"/>
          <w:sz w:val="22"/>
          <w:szCs w:val="22"/>
        </w:rPr>
        <w:t xml:space="preserve"> i FISH za potrebe Kliničkog zavoda za laborator</w:t>
      </w:r>
      <w:r w:rsidR="00812B13">
        <w:rPr>
          <w:rFonts w:ascii="Tahoma" w:hAnsi="Tahoma" w:cs="Tahoma"/>
          <w:sz w:val="22"/>
          <w:szCs w:val="22"/>
        </w:rPr>
        <w:t>ijsku dijagnostiku</w:t>
      </w:r>
      <w:r w:rsidRPr="0048312B">
        <w:rPr>
          <w:rFonts w:ascii="Tahoma" w:hAnsi="Tahoma" w:cs="Tahoma"/>
          <w:sz w:val="22"/>
          <w:szCs w:val="22"/>
        </w:rPr>
        <w:t xml:space="preserve"> te programskog paketa za automatizaciju i optimizaciju slanja računa u Hrvatski zavod za zdr</w:t>
      </w:r>
      <w:r w:rsidR="00812B13">
        <w:rPr>
          <w:rFonts w:ascii="Tahoma" w:hAnsi="Tahoma" w:cs="Tahoma"/>
          <w:sz w:val="22"/>
          <w:szCs w:val="22"/>
        </w:rPr>
        <w:t>avstveno osiguranje</w:t>
      </w:r>
      <w:r w:rsidRPr="0048312B">
        <w:rPr>
          <w:rFonts w:ascii="Tahoma" w:hAnsi="Tahoma" w:cs="Tahoma"/>
          <w:sz w:val="22"/>
          <w:szCs w:val="22"/>
        </w:rPr>
        <w:t>.</w:t>
      </w:r>
      <w:r w:rsidRPr="005C31BC">
        <w:rPr>
          <w:rFonts w:ascii="Tahoma" w:hAnsi="Tahoma" w:cs="Tahoma"/>
          <w:sz w:val="22"/>
          <w:szCs w:val="22"/>
        </w:rPr>
        <w:t xml:space="preserve"> </w:t>
      </w:r>
    </w:p>
    <w:p w:rsidR="007D464E" w:rsidRPr="005C31BC" w:rsidRDefault="007D464E" w:rsidP="007D464E">
      <w:pPr>
        <w:jc w:val="both"/>
        <w:rPr>
          <w:rFonts w:ascii="Tahoma" w:hAnsi="Tahoma" w:cs="Tahoma"/>
          <w:sz w:val="22"/>
          <w:szCs w:val="22"/>
        </w:rPr>
      </w:pPr>
    </w:p>
    <w:p w:rsidR="00A623F9" w:rsidRDefault="00A623F9" w:rsidP="001621B4">
      <w:pPr>
        <w:rPr>
          <w:rFonts w:ascii="Tahoma" w:hAnsi="Tahoma" w:cs="Tahoma"/>
          <w:sz w:val="22"/>
          <w:szCs w:val="22"/>
        </w:rPr>
      </w:pPr>
    </w:p>
    <w:p w:rsidR="001621B4" w:rsidRPr="00D85168" w:rsidRDefault="001621B4" w:rsidP="001B0299">
      <w:pPr>
        <w:pStyle w:val="Heading2"/>
        <w:numPr>
          <w:ilvl w:val="0"/>
          <w:numId w:val="2"/>
        </w:numPr>
        <w:jc w:val="left"/>
        <w:rPr>
          <w:rFonts w:ascii="Tahoma" w:hAnsi="Tahoma" w:cs="Tahoma"/>
          <w:sz w:val="22"/>
          <w:szCs w:val="22"/>
        </w:rPr>
      </w:pPr>
      <w:r w:rsidRPr="00D85168">
        <w:rPr>
          <w:rFonts w:ascii="Tahoma" w:hAnsi="Tahoma" w:cs="Tahoma"/>
          <w:sz w:val="22"/>
          <w:szCs w:val="22"/>
        </w:rPr>
        <w:lastRenderedPageBreak/>
        <w:t>FINANCIJSKI REZULTAT</w:t>
      </w:r>
    </w:p>
    <w:p w:rsidR="001621B4" w:rsidRPr="00D85168" w:rsidRDefault="001621B4" w:rsidP="001621B4">
      <w:pPr>
        <w:jc w:val="both"/>
        <w:rPr>
          <w:rFonts w:ascii="Tahoma" w:hAnsi="Tahoma" w:cs="Tahoma"/>
          <w:sz w:val="22"/>
          <w:szCs w:val="22"/>
        </w:rPr>
      </w:pPr>
    </w:p>
    <w:p w:rsidR="00BC17C7" w:rsidRPr="00D20444" w:rsidRDefault="00BC17C7" w:rsidP="00BC17C7">
      <w:pPr>
        <w:jc w:val="both"/>
        <w:rPr>
          <w:rFonts w:ascii="Tahoma" w:hAnsi="Tahoma" w:cs="Tahoma"/>
          <w:sz w:val="22"/>
          <w:szCs w:val="22"/>
        </w:rPr>
      </w:pPr>
      <w:r w:rsidRPr="00D20444">
        <w:rPr>
          <w:rFonts w:ascii="Tahoma" w:hAnsi="Tahoma" w:cs="Tahoma"/>
          <w:sz w:val="22"/>
          <w:szCs w:val="22"/>
        </w:rPr>
        <w:t xml:space="preserve">KBC Zagreb je prema proračunskom računovodstvu </w:t>
      </w:r>
      <w:r w:rsidRPr="00AD2C80">
        <w:rPr>
          <w:rFonts w:ascii="Tahoma" w:hAnsi="Tahoma" w:cs="Tahoma"/>
          <w:sz w:val="22"/>
          <w:szCs w:val="22"/>
        </w:rPr>
        <w:t xml:space="preserve">u </w:t>
      </w:r>
      <w:r w:rsidR="00AB0EFA" w:rsidRPr="00AD2C80">
        <w:rPr>
          <w:rFonts w:ascii="Tahoma" w:hAnsi="Tahoma" w:cs="Tahoma"/>
          <w:sz w:val="22"/>
        </w:rPr>
        <w:t xml:space="preserve">razdoblju od 1. siječnja do 31. prosinca 2024. godine </w:t>
      </w:r>
      <w:r w:rsidRPr="00AD2C80">
        <w:rPr>
          <w:rFonts w:ascii="Tahoma" w:hAnsi="Tahoma" w:cs="Tahoma"/>
          <w:sz w:val="22"/>
          <w:szCs w:val="22"/>
        </w:rPr>
        <w:t xml:space="preserve">ostvario manjak prihoda i primitaka nad rashodima i izdacima u iznosu od </w:t>
      </w:r>
      <w:r w:rsidR="00AB0EFA" w:rsidRPr="00AD2C80">
        <w:rPr>
          <w:rFonts w:ascii="Tahoma" w:hAnsi="Tahoma" w:cs="Tahoma"/>
          <w:b/>
          <w:sz w:val="22"/>
          <w:szCs w:val="22"/>
        </w:rPr>
        <w:t>55.311.145</w:t>
      </w:r>
      <w:r w:rsidRPr="00AD2C80">
        <w:rPr>
          <w:rFonts w:ascii="Tahoma" w:hAnsi="Tahoma" w:cs="Tahoma"/>
          <w:b/>
          <w:sz w:val="22"/>
          <w:szCs w:val="22"/>
        </w:rPr>
        <w:t xml:space="preserve"> EUR </w:t>
      </w:r>
      <w:r w:rsidRPr="00AD2C80">
        <w:rPr>
          <w:rFonts w:ascii="Tahoma" w:hAnsi="Tahoma" w:cs="Tahoma"/>
          <w:sz w:val="22"/>
          <w:szCs w:val="22"/>
        </w:rPr>
        <w:t>uvjetovan sljedećim vanjskim čimbenicima:</w:t>
      </w:r>
    </w:p>
    <w:p w:rsidR="00BC17C7" w:rsidRPr="00D20444" w:rsidRDefault="00BC17C7" w:rsidP="00BC17C7">
      <w:pPr>
        <w:pStyle w:val="BodyText2"/>
        <w:ind w:left="284" w:hanging="284"/>
        <w:rPr>
          <w:rFonts w:ascii="Tahoma" w:hAnsi="Tahoma" w:cs="Tahoma"/>
          <w:szCs w:val="22"/>
        </w:rPr>
      </w:pPr>
      <w:r w:rsidRPr="00D20444">
        <w:rPr>
          <w:rFonts w:ascii="Tahoma" w:hAnsi="Tahoma" w:cs="Tahoma"/>
          <w:szCs w:val="22"/>
        </w:rPr>
        <w:t>-</w:t>
      </w:r>
      <w:r w:rsidRPr="00D20444">
        <w:rPr>
          <w:rFonts w:ascii="Tahoma" w:hAnsi="Tahoma" w:cs="Tahoma"/>
          <w:color w:val="FF0000"/>
          <w:szCs w:val="22"/>
        </w:rPr>
        <w:tab/>
      </w:r>
      <w:r w:rsidRPr="00D20444">
        <w:rPr>
          <w:rFonts w:ascii="Tahoma" w:hAnsi="Tahoma" w:cs="Tahoma"/>
          <w:szCs w:val="22"/>
        </w:rPr>
        <w:t>nedovoljan ugovoreni maksimalni iznos sredstava - limit za provođenje bolničke i specijalističko-konzilijarne zdravstvene zaštite iz ob</w:t>
      </w:r>
      <w:r w:rsidR="002668C2">
        <w:rPr>
          <w:rFonts w:ascii="Tahoma" w:hAnsi="Tahoma" w:cs="Tahoma"/>
          <w:szCs w:val="22"/>
        </w:rPr>
        <w:t>veznog zdravstvenog osiguranja,</w:t>
      </w:r>
    </w:p>
    <w:p w:rsidR="00BC17C7" w:rsidRPr="00D20444" w:rsidRDefault="00BC17C7" w:rsidP="00BC17C7">
      <w:pPr>
        <w:pStyle w:val="BodyText2"/>
        <w:ind w:left="284" w:hanging="284"/>
        <w:rPr>
          <w:rFonts w:ascii="Tahoma" w:hAnsi="Tahoma" w:cs="Tahoma"/>
          <w:szCs w:val="22"/>
        </w:rPr>
      </w:pPr>
      <w:r w:rsidRPr="00D20444">
        <w:rPr>
          <w:rFonts w:ascii="Tahoma" w:hAnsi="Tahoma" w:cs="Tahoma"/>
          <w:szCs w:val="22"/>
        </w:rPr>
        <w:t>-</w:t>
      </w:r>
      <w:r w:rsidRPr="00D20444">
        <w:rPr>
          <w:rFonts w:ascii="Tahoma" w:hAnsi="Tahoma" w:cs="Tahoma"/>
          <w:szCs w:val="22"/>
        </w:rPr>
        <w:tab/>
        <w:t>ugovoreni rok plaćanja s HZZO-om od 60 dana za aktivnosti izvan „limita“,</w:t>
      </w:r>
    </w:p>
    <w:p w:rsidR="00BC17C7" w:rsidRPr="00D20444" w:rsidRDefault="00BC17C7" w:rsidP="00BC17C7">
      <w:pPr>
        <w:pStyle w:val="BodyText2"/>
        <w:tabs>
          <w:tab w:val="left" w:pos="284"/>
        </w:tabs>
        <w:rPr>
          <w:rFonts w:ascii="Tahoma" w:hAnsi="Tahoma" w:cs="Tahoma"/>
          <w:szCs w:val="22"/>
        </w:rPr>
      </w:pPr>
      <w:r w:rsidRPr="00D20444">
        <w:rPr>
          <w:rFonts w:ascii="Tahoma" w:hAnsi="Tahoma" w:cs="Tahoma"/>
          <w:szCs w:val="22"/>
        </w:rPr>
        <w:t>-</w:t>
      </w:r>
      <w:r w:rsidRPr="00D20444">
        <w:rPr>
          <w:rFonts w:ascii="Tahoma" w:hAnsi="Tahoma" w:cs="Tahoma"/>
          <w:szCs w:val="22"/>
        </w:rPr>
        <w:tab/>
        <w:t>izvori radnog prava koji uređuju plaće zaposlenih u zdravstvu regulirani su općim</w:t>
      </w:r>
    </w:p>
    <w:p w:rsidR="00BC17C7" w:rsidRPr="00D20444" w:rsidRDefault="00BC17C7" w:rsidP="00BC17C7">
      <w:pPr>
        <w:pStyle w:val="BodyText2"/>
        <w:tabs>
          <w:tab w:val="left" w:pos="284"/>
        </w:tabs>
        <w:rPr>
          <w:rFonts w:ascii="Tahoma" w:hAnsi="Tahoma" w:cs="Tahoma"/>
          <w:szCs w:val="22"/>
        </w:rPr>
      </w:pPr>
      <w:r w:rsidRPr="00D20444">
        <w:rPr>
          <w:rFonts w:ascii="Tahoma" w:hAnsi="Tahoma" w:cs="Tahoma"/>
          <w:szCs w:val="22"/>
        </w:rPr>
        <w:tab/>
        <w:t>propisima o radu i u skladu s njima zaključenim kolektivnim ugovorima, koje sklapaju Vlada RH</w:t>
      </w:r>
    </w:p>
    <w:p w:rsidR="00BC17C7" w:rsidRPr="00D20444" w:rsidRDefault="00BC17C7" w:rsidP="00BC17C7">
      <w:pPr>
        <w:pStyle w:val="BodyText2"/>
        <w:tabs>
          <w:tab w:val="left" w:pos="284"/>
        </w:tabs>
        <w:rPr>
          <w:rFonts w:ascii="Tahoma" w:hAnsi="Tahoma" w:cs="Tahoma"/>
          <w:szCs w:val="22"/>
        </w:rPr>
      </w:pPr>
      <w:r w:rsidRPr="00D20444">
        <w:rPr>
          <w:rFonts w:ascii="Tahoma" w:hAnsi="Tahoma" w:cs="Tahoma"/>
          <w:szCs w:val="22"/>
        </w:rPr>
        <w:tab/>
        <w:t>i sindikati,</w:t>
      </w:r>
    </w:p>
    <w:p w:rsidR="00BC17C7" w:rsidRPr="00AD2C80" w:rsidRDefault="00BC17C7" w:rsidP="00BC17C7">
      <w:pPr>
        <w:pStyle w:val="BodyText2"/>
        <w:ind w:left="284" w:hanging="284"/>
        <w:rPr>
          <w:rFonts w:ascii="Tahoma" w:hAnsi="Tahoma" w:cs="Tahoma"/>
          <w:color w:val="FF0000"/>
          <w:szCs w:val="22"/>
        </w:rPr>
      </w:pPr>
      <w:r w:rsidRPr="00D20444">
        <w:rPr>
          <w:rFonts w:ascii="Tahoma" w:hAnsi="Tahoma" w:cs="Tahoma"/>
          <w:szCs w:val="22"/>
        </w:rPr>
        <w:t>-</w:t>
      </w:r>
      <w:r w:rsidRPr="00D20444">
        <w:rPr>
          <w:rFonts w:ascii="Tahoma" w:hAnsi="Tahoma" w:cs="Tahoma"/>
          <w:szCs w:val="22"/>
        </w:rPr>
        <w:tab/>
        <w:t xml:space="preserve">potrošnja lijekova koji nisu uvršteni u važeće liste lijekova HZZO-a na teret „limita“ KBC-a Zagreb </w:t>
      </w:r>
      <w:r w:rsidR="00AB0EFA" w:rsidRPr="00AD2C80">
        <w:rPr>
          <w:rFonts w:ascii="Tahoma" w:hAnsi="Tahoma" w:cs="Tahoma"/>
          <w:szCs w:val="22"/>
        </w:rPr>
        <w:t>(14.951.611</w:t>
      </w:r>
      <w:r w:rsidRPr="00AD2C80">
        <w:rPr>
          <w:rFonts w:ascii="Tahoma" w:hAnsi="Tahoma" w:cs="Tahoma"/>
          <w:szCs w:val="22"/>
        </w:rPr>
        <w:t xml:space="preserve"> EUR u 2024.),</w:t>
      </w:r>
    </w:p>
    <w:p w:rsidR="00BC17C7" w:rsidRPr="00AD2C80" w:rsidRDefault="00BC17C7" w:rsidP="00BC17C7">
      <w:pPr>
        <w:tabs>
          <w:tab w:val="left" w:pos="284"/>
        </w:tabs>
        <w:jc w:val="both"/>
        <w:rPr>
          <w:rFonts w:ascii="Tahoma" w:hAnsi="Tahoma" w:cs="Tahoma"/>
          <w:sz w:val="22"/>
          <w:szCs w:val="22"/>
        </w:rPr>
      </w:pPr>
      <w:r w:rsidRPr="00AD2C80">
        <w:rPr>
          <w:rFonts w:ascii="Tahoma" w:hAnsi="Tahoma" w:cs="Tahoma"/>
          <w:sz w:val="22"/>
          <w:szCs w:val="22"/>
        </w:rPr>
        <w:t>-</w:t>
      </w:r>
      <w:r w:rsidRPr="00AD2C80">
        <w:rPr>
          <w:rFonts w:ascii="Tahoma" w:hAnsi="Tahoma" w:cs="Tahoma"/>
          <w:sz w:val="22"/>
          <w:szCs w:val="22"/>
        </w:rPr>
        <w:tab/>
        <w:t xml:space="preserve">nema ograničenja liječenja pacijenata prema teritorijalnom ustroju bez obzira na </w:t>
      </w:r>
    </w:p>
    <w:p w:rsidR="00BC17C7" w:rsidRPr="00D20444" w:rsidRDefault="00BC17C7" w:rsidP="00BC17C7">
      <w:pPr>
        <w:tabs>
          <w:tab w:val="left" w:pos="284"/>
        </w:tabs>
        <w:ind w:left="284"/>
        <w:rPr>
          <w:rFonts w:ascii="Tahoma" w:hAnsi="Tahoma" w:cs="Tahoma"/>
          <w:sz w:val="22"/>
          <w:szCs w:val="22"/>
        </w:rPr>
      </w:pPr>
      <w:r w:rsidRPr="00AD2C80">
        <w:rPr>
          <w:rFonts w:ascii="Tahoma" w:hAnsi="Tahoma" w:cs="Tahoma"/>
          <w:sz w:val="22"/>
          <w:szCs w:val="22"/>
        </w:rPr>
        <w:t xml:space="preserve">mjesto stanovanja i dalje mnoge bolnice „prebacuju“ teret troškova skupe dijagnostike i skupog liječenja na KBC Zagreb bez obzira na raspoloživost odgovarajućih vlastitih stručnjaka i status Referentnih centara Ministarstva zdravstva te postojanja </w:t>
      </w:r>
      <w:proofErr w:type="spellStart"/>
      <w:r w:rsidRPr="00AD2C80">
        <w:rPr>
          <w:rFonts w:ascii="Tahoma" w:hAnsi="Tahoma" w:cs="Tahoma"/>
          <w:sz w:val="22"/>
          <w:szCs w:val="22"/>
        </w:rPr>
        <w:t>visokodiferentne</w:t>
      </w:r>
      <w:proofErr w:type="spellEnd"/>
      <w:r w:rsidRPr="00AD2C80">
        <w:rPr>
          <w:rFonts w:ascii="Tahoma" w:hAnsi="Tahoma" w:cs="Tahoma"/>
          <w:sz w:val="22"/>
          <w:szCs w:val="22"/>
        </w:rPr>
        <w:t xml:space="preserve"> i skupe opreme (</w:t>
      </w:r>
      <w:r w:rsidR="003A5CA6" w:rsidRPr="00AD2C80">
        <w:rPr>
          <w:rFonts w:ascii="Tahoma" w:hAnsi="Tahoma" w:cs="Tahoma"/>
          <w:sz w:val="22"/>
          <w:szCs w:val="22"/>
        </w:rPr>
        <w:t>18.954.928</w:t>
      </w:r>
      <w:r w:rsidRPr="00AD2C80">
        <w:rPr>
          <w:rFonts w:ascii="Tahoma" w:hAnsi="Tahoma" w:cs="Tahoma"/>
          <w:sz w:val="22"/>
          <w:szCs w:val="22"/>
        </w:rPr>
        <w:t xml:space="preserve"> EUR u 2024.),</w:t>
      </w:r>
    </w:p>
    <w:p w:rsidR="00BC17C7" w:rsidRPr="00D20444" w:rsidRDefault="00BC17C7" w:rsidP="00BC17C7">
      <w:pPr>
        <w:tabs>
          <w:tab w:val="left" w:pos="284"/>
        </w:tabs>
        <w:ind w:left="284" w:hanging="284"/>
        <w:jc w:val="both"/>
        <w:rPr>
          <w:rFonts w:ascii="Tahoma" w:hAnsi="Tahoma" w:cs="Tahoma"/>
          <w:szCs w:val="22"/>
        </w:rPr>
      </w:pPr>
      <w:r w:rsidRPr="00D20444">
        <w:rPr>
          <w:rFonts w:ascii="Tahoma" w:hAnsi="Tahoma" w:cs="Tahoma"/>
          <w:szCs w:val="22"/>
        </w:rPr>
        <w:t>-</w:t>
      </w:r>
      <w:r w:rsidRPr="00D20444">
        <w:rPr>
          <w:rFonts w:ascii="Tahoma" w:hAnsi="Tahoma" w:cs="Tahoma"/>
          <w:szCs w:val="22"/>
        </w:rPr>
        <w:tab/>
      </w:r>
      <w:r w:rsidRPr="00D20444">
        <w:rPr>
          <w:rFonts w:ascii="Tahoma" w:hAnsi="Tahoma" w:cs="Tahoma"/>
          <w:sz w:val="22"/>
          <w:szCs w:val="22"/>
        </w:rPr>
        <w:t>nedovoljan najviši iznos sudjelovanja u troškovima zdravstvene zašti</w:t>
      </w:r>
      <w:r w:rsidR="002668C2">
        <w:rPr>
          <w:rFonts w:ascii="Tahoma" w:hAnsi="Tahoma" w:cs="Tahoma"/>
          <w:sz w:val="22"/>
          <w:szCs w:val="22"/>
        </w:rPr>
        <w:t xml:space="preserve">te koji je obavezna snositi </w:t>
      </w:r>
      <w:r w:rsidRPr="00D20444">
        <w:rPr>
          <w:rFonts w:ascii="Tahoma" w:hAnsi="Tahoma" w:cs="Tahoma"/>
          <w:sz w:val="22"/>
          <w:szCs w:val="22"/>
        </w:rPr>
        <w:t>osigurana osoba HZZO-a po jednom liječenju ili dijagnostičkom postupku</w:t>
      </w:r>
      <w:r w:rsidRPr="00D20444">
        <w:rPr>
          <w:rFonts w:ascii="Tahoma" w:hAnsi="Tahoma" w:cs="Tahoma"/>
          <w:szCs w:val="22"/>
        </w:rPr>
        <w:t>,</w:t>
      </w:r>
    </w:p>
    <w:p w:rsidR="00BC17C7" w:rsidRPr="00D20444" w:rsidRDefault="00BC17C7" w:rsidP="00BC17C7">
      <w:pPr>
        <w:pStyle w:val="BodyText2"/>
        <w:ind w:left="284" w:hanging="284"/>
        <w:rPr>
          <w:rFonts w:ascii="Tahoma" w:hAnsi="Tahoma" w:cs="Tahoma"/>
          <w:szCs w:val="22"/>
        </w:rPr>
      </w:pPr>
      <w:r w:rsidRPr="00D20444">
        <w:rPr>
          <w:rFonts w:ascii="Tahoma" w:hAnsi="Tahoma" w:cs="Tahoma"/>
          <w:szCs w:val="22"/>
        </w:rPr>
        <w:t>-</w:t>
      </w:r>
      <w:r w:rsidRPr="00D20444">
        <w:rPr>
          <w:rFonts w:ascii="Tahoma" w:hAnsi="Tahoma" w:cs="Tahoma"/>
          <w:szCs w:val="22"/>
        </w:rPr>
        <w:tab/>
        <w:t>smanjenje kapaciteta zbog potresom oštećene bolničke infrastrukture</w:t>
      </w:r>
      <w:r>
        <w:rPr>
          <w:rFonts w:ascii="Tahoma" w:hAnsi="Tahoma" w:cs="Tahoma"/>
          <w:szCs w:val="22"/>
        </w:rPr>
        <w:t>.</w:t>
      </w:r>
    </w:p>
    <w:p w:rsidR="00BC17C7" w:rsidRPr="00D20444" w:rsidRDefault="00BC17C7" w:rsidP="00BC17C7">
      <w:pPr>
        <w:pStyle w:val="BodyText2"/>
        <w:ind w:left="284" w:hanging="284"/>
        <w:rPr>
          <w:rFonts w:ascii="Tahoma" w:hAnsi="Tahoma" w:cs="Tahoma"/>
          <w:szCs w:val="22"/>
        </w:rPr>
      </w:pPr>
    </w:p>
    <w:p w:rsidR="00BC17C7" w:rsidRPr="00D20444" w:rsidRDefault="00BC17C7" w:rsidP="00BC17C7">
      <w:pPr>
        <w:jc w:val="both"/>
        <w:rPr>
          <w:rFonts w:ascii="Tahoma" w:hAnsi="Tahoma" w:cs="Tahoma"/>
          <w:color w:val="FF0000"/>
          <w:sz w:val="22"/>
          <w:szCs w:val="22"/>
        </w:rPr>
      </w:pPr>
    </w:p>
    <w:p w:rsidR="00BC17C7" w:rsidRPr="00D20444" w:rsidRDefault="00BC17C7" w:rsidP="00BC17C7">
      <w:pPr>
        <w:jc w:val="both"/>
        <w:rPr>
          <w:rFonts w:ascii="Tahoma" w:hAnsi="Tahoma" w:cs="Tahoma"/>
          <w:sz w:val="22"/>
          <w:szCs w:val="22"/>
        </w:rPr>
      </w:pPr>
      <w:r w:rsidRPr="00D20444">
        <w:rPr>
          <w:rFonts w:ascii="Tahoma" w:hAnsi="Tahoma" w:cs="Tahoma"/>
          <w:sz w:val="22"/>
          <w:szCs w:val="22"/>
        </w:rPr>
        <w:t>Uzroci ostvarenog rezultata poslovanja su objektivne, a ne subjektivne okolnosti u poslovanju jer KBC Zagreb nije mogao utjecati na kretanje najvećeg dijela prihoda i rashoda koji su uvjetovani vanjskim čimbenicima.</w:t>
      </w:r>
    </w:p>
    <w:p w:rsidR="00BC17C7" w:rsidRPr="00D20444" w:rsidRDefault="00BC17C7" w:rsidP="00BC17C7">
      <w:pPr>
        <w:jc w:val="both"/>
        <w:rPr>
          <w:rFonts w:ascii="Tahoma" w:hAnsi="Tahoma" w:cs="Tahoma"/>
          <w:sz w:val="22"/>
          <w:szCs w:val="22"/>
        </w:rPr>
      </w:pPr>
    </w:p>
    <w:p w:rsidR="003D24FC" w:rsidRDefault="003D24FC" w:rsidP="000B6089">
      <w:pPr>
        <w:jc w:val="both"/>
        <w:rPr>
          <w:rFonts w:ascii="Tahoma" w:hAnsi="Tahoma" w:cs="Tahoma"/>
          <w:sz w:val="22"/>
          <w:szCs w:val="22"/>
        </w:rPr>
      </w:pPr>
    </w:p>
    <w:p w:rsidR="001F4910" w:rsidRDefault="001F4910"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BC17C7" w:rsidRDefault="00BC17C7"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1F4910" w:rsidRDefault="001F4910" w:rsidP="000B6089">
      <w:pPr>
        <w:jc w:val="both"/>
        <w:rPr>
          <w:rFonts w:ascii="Tahoma" w:hAnsi="Tahoma" w:cs="Tahoma"/>
          <w:sz w:val="22"/>
          <w:szCs w:val="22"/>
        </w:rPr>
      </w:pPr>
    </w:p>
    <w:p w:rsidR="00201F46" w:rsidRDefault="00201F46" w:rsidP="000B6089">
      <w:pPr>
        <w:jc w:val="both"/>
        <w:rPr>
          <w:rFonts w:ascii="Tahoma" w:hAnsi="Tahoma" w:cs="Tahoma"/>
          <w:sz w:val="22"/>
          <w:szCs w:val="22"/>
        </w:rPr>
      </w:pPr>
    </w:p>
    <w:p w:rsidR="00201F46" w:rsidRPr="00201F46" w:rsidRDefault="00201F46" w:rsidP="00201F46">
      <w:pPr>
        <w:pStyle w:val="Heading2"/>
        <w:numPr>
          <w:ilvl w:val="0"/>
          <w:numId w:val="7"/>
        </w:numPr>
        <w:ind w:left="709" w:hanging="709"/>
        <w:jc w:val="left"/>
        <w:rPr>
          <w:rFonts w:ascii="Tahoma" w:hAnsi="Tahoma" w:cs="Tahoma"/>
          <w:sz w:val="22"/>
          <w:szCs w:val="22"/>
        </w:rPr>
      </w:pPr>
      <w:r w:rsidRPr="00201F46">
        <w:rPr>
          <w:rFonts w:ascii="Tahoma" w:hAnsi="Tahoma" w:cs="Tahoma"/>
          <w:sz w:val="22"/>
          <w:szCs w:val="22"/>
        </w:rPr>
        <w:lastRenderedPageBreak/>
        <w:t>BILANCA NA DAN 31. PROSINCA 2024. GODINE</w:t>
      </w:r>
    </w:p>
    <w:p w:rsidR="00201F46" w:rsidRPr="00201F46" w:rsidRDefault="00201F46" w:rsidP="00201F46"/>
    <w:p w:rsidR="00201F46" w:rsidRPr="00201F46" w:rsidRDefault="00201F46" w:rsidP="00201F46">
      <w:pPr>
        <w:jc w:val="both"/>
        <w:rPr>
          <w:rFonts w:ascii="Tahoma" w:hAnsi="Tahoma" w:cs="Tahoma"/>
          <w:sz w:val="22"/>
          <w:szCs w:val="22"/>
        </w:rPr>
      </w:pPr>
      <w:r w:rsidRPr="00201F46">
        <w:rPr>
          <w:rFonts w:ascii="Tahoma" w:hAnsi="Tahoma" w:cs="Tahoma"/>
          <w:sz w:val="22"/>
          <w:szCs w:val="22"/>
        </w:rPr>
        <w:t>Bilješke uz obrazac Bilanca na dan 31. prosinca 2024. godine izrađene su sukladno Pravilniku o financijskom izvještavanju u proračunskom računovodstvu (NN 37/22) kao sastavni dio financijskog izvještaja za predmetno razdoblje.</w:t>
      </w:r>
    </w:p>
    <w:p w:rsidR="00201F46" w:rsidRPr="00201F46" w:rsidRDefault="00201F46" w:rsidP="00201F46">
      <w:pPr>
        <w:jc w:val="both"/>
        <w:rPr>
          <w:rFonts w:ascii="Tahoma" w:hAnsi="Tahoma" w:cs="Tahoma"/>
          <w:sz w:val="22"/>
          <w:szCs w:val="22"/>
        </w:rPr>
      </w:pPr>
    </w:p>
    <w:p w:rsidR="00201F46" w:rsidRPr="00201F46" w:rsidRDefault="00201F46" w:rsidP="00201F46">
      <w:pPr>
        <w:jc w:val="both"/>
        <w:rPr>
          <w:rFonts w:ascii="Tahoma" w:hAnsi="Tahoma" w:cs="Tahoma"/>
          <w:b/>
          <w:sz w:val="22"/>
          <w:szCs w:val="22"/>
        </w:rPr>
      </w:pPr>
      <w:r w:rsidRPr="00201F46">
        <w:rPr>
          <w:rFonts w:ascii="Tahoma" w:hAnsi="Tahoma" w:cs="Tahoma"/>
          <w:b/>
          <w:sz w:val="22"/>
          <w:szCs w:val="22"/>
        </w:rPr>
        <w:t>Imovina (Šifra B001)</w:t>
      </w:r>
    </w:p>
    <w:p w:rsidR="00201F46" w:rsidRPr="00201F46" w:rsidRDefault="00201F46" w:rsidP="00201F46">
      <w:pPr>
        <w:jc w:val="both"/>
        <w:rPr>
          <w:rFonts w:ascii="Tahoma" w:hAnsi="Tahoma" w:cs="Tahoma"/>
          <w:sz w:val="22"/>
          <w:szCs w:val="22"/>
          <w:u w:val="single"/>
        </w:rPr>
      </w:pPr>
    </w:p>
    <w:p w:rsidR="00201F46" w:rsidRPr="00201F46" w:rsidRDefault="00201F46" w:rsidP="00201F46">
      <w:pPr>
        <w:jc w:val="both"/>
        <w:rPr>
          <w:rFonts w:ascii="Tahoma" w:hAnsi="Tahoma" w:cs="Tahoma"/>
          <w:sz w:val="22"/>
          <w:szCs w:val="22"/>
        </w:rPr>
      </w:pPr>
      <w:r w:rsidRPr="00201F46">
        <w:rPr>
          <w:rFonts w:ascii="Tahoma" w:hAnsi="Tahoma" w:cs="Tahoma"/>
          <w:b/>
          <w:sz w:val="22"/>
          <w:szCs w:val="22"/>
          <w:u w:val="single"/>
        </w:rPr>
        <w:t xml:space="preserve">Građevinski objekti (Šifra 021 i 02921) </w:t>
      </w:r>
      <w:r w:rsidRPr="00201F46">
        <w:rPr>
          <w:rFonts w:ascii="Tahoma" w:hAnsi="Tahoma" w:cs="Tahoma"/>
          <w:sz w:val="22"/>
          <w:szCs w:val="22"/>
        </w:rPr>
        <w:t xml:space="preserve"> na dan 31. prosinca 2024. godine iskazani su u iznosu od 126.543.731 EUR što je za 10,0% više u odnosu na isti datum 2023. godine.</w:t>
      </w:r>
    </w:p>
    <w:p w:rsidR="00201F46" w:rsidRPr="00201F46" w:rsidRDefault="00201F46" w:rsidP="00201F46">
      <w:pPr>
        <w:jc w:val="both"/>
        <w:rPr>
          <w:rFonts w:ascii="Tahoma" w:hAnsi="Tahoma" w:cs="Tahoma"/>
          <w:b/>
          <w:sz w:val="22"/>
          <w:szCs w:val="22"/>
          <w:u w:val="single"/>
        </w:rPr>
      </w:pPr>
    </w:p>
    <w:p w:rsidR="00201F46" w:rsidRPr="00201F46" w:rsidRDefault="00201F46" w:rsidP="00201F46">
      <w:pPr>
        <w:jc w:val="both"/>
        <w:rPr>
          <w:rFonts w:ascii="Tahoma" w:hAnsi="Tahoma" w:cs="Tahoma"/>
          <w:sz w:val="22"/>
          <w:szCs w:val="22"/>
        </w:rPr>
      </w:pPr>
      <w:r w:rsidRPr="00201F46">
        <w:rPr>
          <w:rFonts w:ascii="Tahoma" w:hAnsi="Tahoma" w:cs="Tahoma"/>
          <w:sz w:val="22"/>
          <w:szCs w:val="22"/>
        </w:rPr>
        <w:t xml:space="preserve">Najznačajnija ulaganja u građevinske objekte su Projekt obnove od potresa Žute zgrade u sklopu </w:t>
      </w:r>
      <w:r w:rsidR="00F82DB0">
        <w:rPr>
          <w:rFonts w:ascii="Tahoma" w:hAnsi="Tahoma" w:cs="Tahoma"/>
          <w:sz w:val="22"/>
          <w:szCs w:val="22"/>
        </w:rPr>
        <w:t>kompleksa KBC-a</w:t>
      </w:r>
      <w:r w:rsidRPr="00201F46">
        <w:rPr>
          <w:rFonts w:ascii="Tahoma" w:hAnsi="Tahoma" w:cs="Tahoma"/>
          <w:sz w:val="22"/>
          <w:szCs w:val="22"/>
        </w:rPr>
        <w:t>, građevinsko uređenje Laboratorija za provođenje sveobuhvatnog genskog profiliranja tumora pri Zavodu za personaliziranu medicinu Kliničkog bolničko</w:t>
      </w:r>
      <w:r w:rsidR="00AE2AC8">
        <w:rPr>
          <w:rFonts w:ascii="Tahoma" w:hAnsi="Tahoma" w:cs="Tahoma"/>
          <w:sz w:val="22"/>
          <w:szCs w:val="22"/>
        </w:rPr>
        <w:t>g centra </w:t>
      </w:r>
      <w:r w:rsidR="00F82DB0">
        <w:rPr>
          <w:rFonts w:ascii="Tahoma" w:hAnsi="Tahoma" w:cs="Tahoma"/>
          <w:sz w:val="22"/>
          <w:szCs w:val="22"/>
        </w:rPr>
        <w:t>Zagreb</w:t>
      </w:r>
      <w:r w:rsidRPr="00201F46">
        <w:rPr>
          <w:rFonts w:ascii="Tahoma" w:hAnsi="Tahoma" w:cs="Tahoma"/>
          <w:sz w:val="22"/>
          <w:szCs w:val="22"/>
        </w:rPr>
        <w:t xml:space="preserve"> te uređenje prostora za smje</w:t>
      </w:r>
      <w:r w:rsidR="00F82DB0">
        <w:rPr>
          <w:rFonts w:ascii="Tahoma" w:hAnsi="Tahoma" w:cs="Tahoma"/>
          <w:sz w:val="22"/>
          <w:szCs w:val="22"/>
        </w:rPr>
        <w:t>štaj MR 3T uređaja</w:t>
      </w:r>
      <w:r w:rsidRPr="00201F46">
        <w:rPr>
          <w:rFonts w:ascii="Tahoma" w:hAnsi="Tahoma" w:cs="Tahoma"/>
          <w:sz w:val="22"/>
          <w:szCs w:val="22"/>
        </w:rPr>
        <w:t>.</w:t>
      </w:r>
    </w:p>
    <w:p w:rsidR="00201F46" w:rsidRPr="00201F46" w:rsidRDefault="00201F46" w:rsidP="00201F46">
      <w:pPr>
        <w:jc w:val="both"/>
        <w:rPr>
          <w:rFonts w:ascii="Tahoma" w:hAnsi="Tahoma" w:cs="Tahoma"/>
          <w:sz w:val="22"/>
          <w:szCs w:val="22"/>
          <w:u w:val="single"/>
        </w:rPr>
      </w:pPr>
    </w:p>
    <w:p w:rsidR="00201F46" w:rsidRPr="00201F46" w:rsidRDefault="00201F46" w:rsidP="00201F46">
      <w:pPr>
        <w:jc w:val="both"/>
        <w:rPr>
          <w:rFonts w:ascii="Tahoma" w:hAnsi="Tahoma" w:cs="Tahoma"/>
          <w:sz w:val="22"/>
          <w:szCs w:val="22"/>
        </w:rPr>
      </w:pPr>
      <w:r w:rsidRPr="00201F46">
        <w:rPr>
          <w:rFonts w:ascii="Tahoma" w:hAnsi="Tahoma" w:cs="Tahoma"/>
          <w:b/>
          <w:sz w:val="22"/>
          <w:szCs w:val="22"/>
          <w:u w:val="single"/>
        </w:rPr>
        <w:t xml:space="preserve">Postrojenja i oprema (Šifra 022 i 02922) </w:t>
      </w:r>
      <w:r w:rsidRPr="00201F46">
        <w:rPr>
          <w:rFonts w:ascii="Tahoma" w:hAnsi="Tahoma" w:cs="Tahoma"/>
          <w:sz w:val="22"/>
          <w:szCs w:val="22"/>
        </w:rPr>
        <w:t xml:space="preserve"> na dan 31. prosinca 2024. godine iskazani su u iznosu od 32.922.656 EUR što je za 20,3% više u odnosu na isti datum 2023. godine.</w:t>
      </w:r>
    </w:p>
    <w:p w:rsidR="00201F46" w:rsidRPr="00201F46" w:rsidRDefault="00201F46" w:rsidP="00201F46">
      <w:pPr>
        <w:jc w:val="both"/>
        <w:rPr>
          <w:rFonts w:ascii="Tahoma" w:hAnsi="Tahoma" w:cs="Tahoma"/>
          <w:sz w:val="22"/>
          <w:szCs w:val="22"/>
        </w:rPr>
      </w:pPr>
    </w:p>
    <w:p w:rsidR="00201F46" w:rsidRPr="00201F46" w:rsidRDefault="00201F46" w:rsidP="00201F46">
      <w:pPr>
        <w:jc w:val="both"/>
        <w:rPr>
          <w:rFonts w:ascii="Tahoma" w:hAnsi="Tahoma" w:cs="Tahoma"/>
          <w:color w:val="0D0D0D" w:themeColor="text1" w:themeTint="F2"/>
          <w:sz w:val="22"/>
          <w:szCs w:val="22"/>
        </w:rPr>
      </w:pPr>
      <w:r w:rsidRPr="00201F46">
        <w:rPr>
          <w:rFonts w:ascii="Tahoma" w:hAnsi="Tahoma" w:cs="Tahoma"/>
          <w:color w:val="0D0D0D" w:themeColor="text1" w:themeTint="F2"/>
          <w:sz w:val="22"/>
          <w:szCs w:val="22"/>
        </w:rPr>
        <w:t xml:space="preserve">Najznačajnija ulaganja u medicinsku i laboratorijsku opremu odnose se na ulaganja u višenamjenski sustav za robotsku kirurgiju, digitalni RTG uređaj za potrebe </w:t>
      </w:r>
      <w:r w:rsidR="00A211E0">
        <w:rPr>
          <w:rFonts w:ascii="Tahoma" w:hAnsi="Tahoma" w:cs="Tahoma"/>
          <w:color w:val="0D0D0D" w:themeColor="text1" w:themeTint="F2"/>
          <w:sz w:val="22"/>
          <w:szCs w:val="22"/>
        </w:rPr>
        <w:t>OBP-a</w:t>
      </w:r>
      <w:r w:rsidR="000837AD">
        <w:rPr>
          <w:rFonts w:ascii="Tahoma" w:hAnsi="Tahoma" w:cs="Tahoma"/>
          <w:color w:val="0D0D0D" w:themeColor="text1" w:themeTint="F2"/>
          <w:sz w:val="22"/>
          <w:szCs w:val="22"/>
        </w:rPr>
        <w:t>, endoskopske stupove</w:t>
      </w:r>
      <w:r w:rsidRPr="00201F46">
        <w:rPr>
          <w:rFonts w:ascii="Tahoma" w:hAnsi="Tahoma" w:cs="Tahoma"/>
          <w:color w:val="0D0D0D" w:themeColor="text1" w:themeTint="F2"/>
          <w:sz w:val="22"/>
          <w:szCs w:val="22"/>
        </w:rPr>
        <w:t xml:space="preserve">, MR uređaj za potrebe Odjela </w:t>
      </w:r>
      <w:r w:rsidR="00A211E0">
        <w:rPr>
          <w:rFonts w:ascii="Tahoma" w:hAnsi="Tahoma" w:cs="Tahoma"/>
          <w:color w:val="0D0D0D" w:themeColor="text1" w:themeTint="F2"/>
          <w:sz w:val="22"/>
          <w:szCs w:val="22"/>
        </w:rPr>
        <w:t xml:space="preserve">za </w:t>
      </w:r>
      <w:proofErr w:type="spellStart"/>
      <w:r w:rsidR="00A211E0">
        <w:rPr>
          <w:rFonts w:ascii="Tahoma" w:hAnsi="Tahoma" w:cs="Tahoma"/>
          <w:color w:val="0D0D0D" w:themeColor="text1" w:themeTint="F2"/>
          <w:sz w:val="22"/>
          <w:szCs w:val="22"/>
        </w:rPr>
        <w:t>muskuloskeletnu</w:t>
      </w:r>
      <w:proofErr w:type="spellEnd"/>
      <w:r w:rsidR="00A211E0">
        <w:rPr>
          <w:rFonts w:ascii="Tahoma" w:hAnsi="Tahoma" w:cs="Tahoma"/>
          <w:color w:val="0D0D0D" w:themeColor="text1" w:themeTint="F2"/>
          <w:sz w:val="22"/>
          <w:szCs w:val="22"/>
        </w:rPr>
        <w:t xml:space="preserve"> radiologiju</w:t>
      </w:r>
      <w:r w:rsidRPr="00201F46">
        <w:rPr>
          <w:rFonts w:ascii="Tahoma" w:hAnsi="Tahoma" w:cs="Tahoma"/>
          <w:color w:val="0D0D0D" w:themeColor="text1" w:themeTint="F2"/>
          <w:sz w:val="22"/>
          <w:szCs w:val="22"/>
        </w:rPr>
        <w:t>, UZV uređaj za potrebe Klinike za žensk</w:t>
      </w:r>
      <w:r w:rsidR="00A211E0">
        <w:rPr>
          <w:rFonts w:ascii="Tahoma" w:hAnsi="Tahoma" w:cs="Tahoma"/>
          <w:color w:val="0D0D0D" w:themeColor="text1" w:themeTint="F2"/>
          <w:sz w:val="22"/>
          <w:szCs w:val="22"/>
        </w:rPr>
        <w:t>e bolesti i porode</w:t>
      </w:r>
      <w:r w:rsidRPr="00201F46">
        <w:rPr>
          <w:rFonts w:ascii="Tahoma" w:hAnsi="Tahoma" w:cs="Tahoma"/>
          <w:color w:val="0D0D0D" w:themeColor="text1" w:themeTint="F2"/>
          <w:sz w:val="22"/>
          <w:szCs w:val="22"/>
        </w:rPr>
        <w:t>, opremu za audio</w:t>
      </w:r>
      <w:r w:rsidR="00A211E0">
        <w:rPr>
          <w:rFonts w:ascii="Tahoma" w:hAnsi="Tahoma" w:cs="Tahoma"/>
          <w:color w:val="0D0D0D" w:themeColor="text1" w:themeTint="F2"/>
          <w:sz w:val="22"/>
          <w:szCs w:val="22"/>
        </w:rPr>
        <w:t>lošku dijagnostiku</w:t>
      </w:r>
      <w:r w:rsidR="000837AD">
        <w:rPr>
          <w:rFonts w:ascii="Tahoma" w:hAnsi="Tahoma" w:cs="Tahoma"/>
          <w:color w:val="0D0D0D" w:themeColor="text1" w:themeTint="F2"/>
          <w:sz w:val="22"/>
          <w:szCs w:val="22"/>
        </w:rPr>
        <w:t xml:space="preserve"> te</w:t>
      </w:r>
      <w:r w:rsidRPr="00201F46">
        <w:rPr>
          <w:color w:val="0D0D0D" w:themeColor="text1" w:themeTint="F2"/>
        </w:rPr>
        <w:t xml:space="preserve"> </w:t>
      </w:r>
      <w:r w:rsidRPr="00201F46">
        <w:rPr>
          <w:rFonts w:ascii="Tahoma" w:hAnsi="Tahoma" w:cs="Tahoma"/>
          <w:color w:val="0D0D0D" w:themeColor="text1" w:themeTint="F2"/>
          <w:sz w:val="22"/>
          <w:szCs w:val="22"/>
        </w:rPr>
        <w:t xml:space="preserve">sustav za </w:t>
      </w:r>
      <w:proofErr w:type="spellStart"/>
      <w:r w:rsidRPr="00201F46">
        <w:rPr>
          <w:rFonts w:ascii="Tahoma" w:hAnsi="Tahoma" w:cs="Tahoma"/>
          <w:color w:val="0D0D0D" w:themeColor="text1" w:themeTint="F2"/>
          <w:sz w:val="22"/>
          <w:szCs w:val="22"/>
        </w:rPr>
        <w:t>neuronavigaciju</w:t>
      </w:r>
      <w:proofErr w:type="spellEnd"/>
      <w:r w:rsidRPr="00201F46">
        <w:rPr>
          <w:rFonts w:ascii="Tahoma" w:hAnsi="Tahoma" w:cs="Tahoma"/>
          <w:color w:val="0D0D0D" w:themeColor="text1" w:themeTint="F2"/>
          <w:sz w:val="22"/>
          <w:szCs w:val="22"/>
        </w:rPr>
        <w:t xml:space="preserve"> za potrebe neurok</w:t>
      </w:r>
      <w:r w:rsidR="00A211E0">
        <w:rPr>
          <w:rFonts w:ascii="Tahoma" w:hAnsi="Tahoma" w:cs="Tahoma"/>
          <w:color w:val="0D0D0D" w:themeColor="text1" w:themeTint="F2"/>
          <w:sz w:val="22"/>
          <w:szCs w:val="22"/>
        </w:rPr>
        <w:t>irurgije</w:t>
      </w:r>
      <w:r w:rsidRPr="00201F46">
        <w:rPr>
          <w:rFonts w:ascii="Tahoma" w:hAnsi="Tahoma" w:cs="Tahoma"/>
          <w:color w:val="0D0D0D" w:themeColor="text1" w:themeTint="F2"/>
          <w:sz w:val="22"/>
          <w:szCs w:val="22"/>
        </w:rPr>
        <w:t>.</w:t>
      </w:r>
    </w:p>
    <w:p w:rsidR="00201F46" w:rsidRPr="00201F46" w:rsidRDefault="00201F46" w:rsidP="00201F46">
      <w:pPr>
        <w:rPr>
          <w:rFonts w:ascii="Tahoma" w:hAnsi="Tahoma" w:cs="Tahoma"/>
          <w:color w:val="0D0D0D" w:themeColor="text1" w:themeTint="F2"/>
          <w:sz w:val="22"/>
          <w:szCs w:val="22"/>
        </w:rPr>
      </w:pPr>
    </w:p>
    <w:p w:rsidR="00201F46" w:rsidRPr="00201F46" w:rsidRDefault="00934DD8" w:rsidP="00934DD8">
      <w:pPr>
        <w:jc w:val="both"/>
        <w:rPr>
          <w:rFonts w:ascii="Tahoma" w:hAnsi="Tahoma" w:cs="Tahoma"/>
          <w:color w:val="0D0D0D" w:themeColor="text1" w:themeTint="F2"/>
          <w:sz w:val="22"/>
          <w:szCs w:val="22"/>
        </w:rPr>
      </w:pPr>
      <w:r>
        <w:rPr>
          <w:rFonts w:ascii="Tahoma" w:hAnsi="Tahoma" w:cs="Tahoma"/>
          <w:color w:val="0D0D0D" w:themeColor="text1" w:themeTint="F2"/>
          <w:sz w:val="22"/>
          <w:szCs w:val="22"/>
        </w:rPr>
        <w:t>Najznačajnija ulaganja u opremu za održavanje i zaštitu odnosi se na</w:t>
      </w:r>
      <w:r w:rsidRPr="00934DD8">
        <w:rPr>
          <w:rFonts w:ascii="Tahoma" w:hAnsi="Tahoma" w:cs="Tahoma"/>
          <w:color w:val="0D0D0D" w:themeColor="text1" w:themeTint="F2"/>
          <w:sz w:val="22"/>
          <w:szCs w:val="22"/>
        </w:rPr>
        <w:t xml:space="preserve"> </w:t>
      </w:r>
      <w:r w:rsidRPr="00201F46">
        <w:rPr>
          <w:rFonts w:ascii="Tahoma" w:hAnsi="Tahoma" w:cs="Tahoma"/>
          <w:color w:val="0D0D0D" w:themeColor="text1" w:themeTint="F2"/>
          <w:sz w:val="22"/>
          <w:szCs w:val="22"/>
        </w:rPr>
        <w:t>ulaganj</w:t>
      </w:r>
      <w:r w:rsidR="00DC46E8">
        <w:rPr>
          <w:rFonts w:ascii="Tahoma" w:hAnsi="Tahoma" w:cs="Tahoma"/>
          <w:color w:val="0D0D0D" w:themeColor="text1" w:themeTint="F2"/>
          <w:sz w:val="22"/>
          <w:szCs w:val="22"/>
        </w:rPr>
        <w:t xml:space="preserve">e u klima uređaje </w:t>
      </w:r>
      <w:r>
        <w:rPr>
          <w:rFonts w:ascii="Tahoma" w:hAnsi="Tahoma" w:cs="Tahoma"/>
          <w:color w:val="0D0D0D" w:themeColor="text1" w:themeTint="F2"/>
          <w:sz w:val="22"/>
          <w:szCs w:val="22"/>
        </w:rPr>
        <w:t>za potrebe opremanja</w:t>
      </w:r>
      <w:r w:rsidR="00201F46" w:rsidRPr="00201F46">
        <w:rPr>
          <w:rFonts w:ascii="Tahoma" w:hAnsi="Tahoma" w:cs="Tahoma"/>
          <w:color w:val="0D0D0D" w:themeColor="text1" w:themeTint="F2"/>
          <w:sz w:val="22"/>
          <w:szCs w:val="22"/>
        </w:rPr>
        <w:t xml:space="preserve"> prostora laboratorija za provođenje sveobuhvatnog genskog profiliranja tumora pri Zavodu za personaliziranu medicinu </w:t>
      </w:r>
      <w:r>
        <w:rPr>
          <w:rFonts w:ascii="Tahoma" w:hAnsi="Tahoma" w:cs="Tahoma"/>
          <w:color w:val="0D0D0D" w:themeColor="text1" w:themeTint="F2"/>
          <w:sz w:val="22"/>
          <w:szCs w:val="22"/>
        </w:rPr>
        <w:t>KBC-a Zagreb.</w:t>
      </w:r>
      <w:r w:rsidR="00201F46" w:rsidRPr="00201F46">
        <w:rPr>
          <w:rFonts w:ascii="Tahoma" w:hAnsi="Tahoma" w:cs="Tahoma"/>
          <w:color w:val="0D0D0D" w:themeColor="text1" w:themeTint="F2"/>
          <w:sz w:val="22"/>
          <w:szCs w:val="22"/>
        </w:rPr>
        <w:t xml:space="preserve"> </w:t>
      </w:r>
    </w:p>
    <w:p w:rsidR="00201F46" w:rsidRPr="00201F46" w:rsidRDefault="00201F46" w:rsidP="00201F46">
      <w:pPr>
        <w:jc w:val="both"/>
        <w:rPr>
          <w:rFonts w:ascii="Tahoma" w:hAnsi="Tahoma" w:cs="Tahoma"/>
          <w:color w:val="0D0D0D" w:themeColor="text1" w:themeTint="F2"/>
          <w:sz w:val="22"/>
          <w:szCs w:val="22"/>
        </w:rPr>
      </w:pPr>
    </w:p>
    <w:p w:rsidR="00201F46" w:rsidRPr="00201F46" w:rsidRDefault="00201F46" w:rsidP="00201F46">
      <w:pPr>
        <w:jc w:val="both"/>
        <w:rPr>
          <w:rFonts w:ascii="Tahoma" w:hAnsi="Tahoma" w:cs="Tahoma"/>
          <w:color w:val="0D0D0D" w:themeColor="text1" w:themeTint="F2"/>
          <w:sz w:val="22"/>
          <w:szCs w:val="22"/>
        </w:rPr>
      </w:pPr>
      <w:r w:rsidRPr="00201F46">
        <w:rPr>
          <w:rFonts w:ascii="Tahoma" w:hAnsi="Tahoma" w:cs="Tahoma"/>
          <w:color w:val="0D0D0D" w:themeColor="text1" w:themeTint="F2"/>
          <w:sz w:val="22"/>
          <w:szCs w:val="22"/>
        </w:rPr>
        <w:t>Najznačajnija ulaganja u uredsku opremu i namještaj odnose se na nabavu računala i monitore te mrežnu opremu za opremanje prostora u projektu cjelovite obnove od potresa.</w:t>
      </w:r>
    </w:p>
    <w:p w:rsidR="00201F46" w:rsidRPr="00201F46" w:rsidRDefault="00201F46" w:rsidP="00201F46">
      <w:pPr>
        <w:jc w:val="both"/>
        <w:rPr>
          <w:rFonts w:ascii="Tahoma" w:hAnsi="Tahoma" w:cs="Tahoma"/>
          <w:sz w:val="22"/>
          <w:szCs w:val="22"/>
        </w:rPr>
      </w:pPr>
    </w:p>
    <w:p w:rsidR="00201F46" w:rsidRPr="00201F46" w:rsidRDefault="00201F46" w:rsidP="00201F46">
      <w:pPr>
        <w:jc w:val="both"/>
        <w:rPr>
          <w:rFonts w:ascii="Tahoma" w:hAnsi="Tahoma" w:cs="Tahoma"/>
          <w:sz w:val="22"/>
          <w:szCs w:val="22"/>
        </w:rPr>
      </w:pPr>
      <w:r w:rsidRPr="00201F46">
        <w:rPr>
          <w:rFonts w:ascii="Tahoma" w:hAnsi="Tahoma" w:cs="Tahoma"/>
          <w:b/>
          <w:sz w:val="22"/>
          <w:szCs w:val="22"/>
          <w:u w:val="single"/>
        </w:rPr>
        <w:t xml:space="preserve">Nematerijalna proizvedena imovina (Šifra 026 i 02926) </w:t>
      </w:r>
      <w:r w:rsidRPr="00201F46">
        <w:rPr>
          <w:rFonts w:ascii="Tahoma" w:hAnsi="Tahoma" w:cs="Tahoma"/>
          <w:sz w:val="22"/>
          <w:szCs w:val="22"/>
        </w:rPr>
        <w:t xml:space="preserve"> na dan 31. prosinca 2024. godine iskazana je u iznosu od 1.315.786 EUR što je za 6,7% manje u odnosu na isti datum </w:t>
      </w:r>
      <w:r w:rsidR="00FA3CF3">
        <w:rPr>
          <w:rFonts w:ascii="Tahoma" w:hAnsi="Tahoma" w:cs="Tahoma"/>
          <w:sz w:val="22"/>
          <w:szCs w:val="22"/>
        </w:rPr>
        <w:t>2023.</w:t>
      </w:r>
      <w:r w:rsidRPr="00201F46">
        <w:rPr>
          <w:rFonts w:ascii="Tahoma" w:hAnsi="Tahoma" w:cs="Tahoma"/>
          <w:sz w:val="22"/>
          <w:szCs w:val="22"/>
        </w:rPr>
        <w:t xml:space="preserve"> godine.</w:t>
      </w:r>
    </w:p>
    <w:p w:rsidR="00201F46" w:rsidRPr="00201F46" w:rsidRDefault="00201F46" w:rsidP="00201F46">
      <w:pPr>
        <w:jc w:val="both"/>
        <w:rPr>
          <w:rFonts w:ascii="Tahoma" w:hAnsi="Tahoma" w:cs="Tahoma"/>
          <w:color w:val="0D0D0D" w:themeColor="text1" w:themeTint="F2"/>
          <w:sz w:val="22"/>
          <w:szCs w:val="22"/>
        </w:rPr>
      </w:pPr>
    </w:p>
    <w:p w:rsidR="00201F46" w:rsidRPr="00201F46" w:rsidRDefault="00201F46" w:rsidP="00201F46">
      <w:pPr>
        <w:jc w:val="both"/>
        <w:rPr>
          <w:rFonts w:ascii="Tahoma" w:hAnsi="Tahoma" w:cs="Tahoma"/>
          <w:color w:val="0D0D0D" w:themeColor="text1" w:themeTint="F2"/>
          <w:sz w:val="22"/>
          <w:szCs w:val="22"/>
        </w:rPr>
      </w:pPr>
      <w:r w:rsidRPr="00201F46">
        <w:rPr>
          <w:rFonts w:ascii="Tahoma" w:hAnsi="Tahoma" w:cs="Tahoma"/>
          <w:color w:val="0D0D0D" w:themeColor="text1" w:themeTint="F2"/>
          <w:sz w:val="22"/>
          <w:szCs w:val="22"/>
        </w:rPr>
        <w:t>Najznačajnija ulaganja u računalne programe odnose se na</w:t>
      </w:r>
      <w:r w:rsidRPr="00201F46">
        <w:rPr>
          <w:color w:val="0D0D0D" w:themeColor="text1" w:themeTint="F2"/>
        </w:rPr>
        <w:t xml:space="preserve"> </w:t>
      </w:r>
      <w:r w:rsidRPr="00201F46">
        <w:rPr>
          <w:rFonts w:ascii="Tahoma" w:hAnsi="Tahoma" w:cs="Tahoma"/>
          <w:color w:val="0D0D0D" w:themeColor="text1" w:themeTint="F2"/>
          <w:sz w:val="22"/>
          <w:szCs w:val="22"/>
        </w:rPr>
        <w:t xml:space="preserve">programski paket za </w:t>
      </w:r>
      <w:proofErr w:type="spellStart"/>
      <w:r w:rsidRPr="00413F3F">
        <w:rPr>
          <w:rFonts w:ascii="Tahoma" w:hAnsi="Tahoma" w:cs="Tahoma"/>
          <w:color w:val="0D0D0D" w:themeColor="text1" w:themeTint="F2"/>
          <w:sz w:val="22"/>
          <w:szCs w:val="22"/>
        </w:rPr>
        <w:t>kar</w:t>
      </w:r>
      <w:r w:rsidR="00413F3F" w:rsidRPr="00413F3F">
        <w:rPr>
          <w:rFonts w:ascii="Tahoma" w:hAnsi="Tahoma" w:cs="Tahoma"/>
          <w:color w:val="0D0D0D" w:themeColor="text1" w:themeTint="F2"/>
          <w:sz w:val="22"/>
          <w:szCs w:val="22"/>
        </w:rPr>
        <w:t>i</w:t>
      </w:r>
      <w:r w:rsidRPr="00413F3F">
        <w:rPr>
          <w:rFonts w:ascii="Tahoma" w:hAnsi="Tahoma" w:cs="Tahoma"/>
          <w:color w:val="0D0D0D" w:themeColor="text1" w:themeTint="F2"/>
          <w:sz w:val="22"/>
          <w:szCs w:val="22"/>
        </w:rPr>
        <w:t>otipizaciju</w:t>
      </w:r>
      <w:proofErr w:type="spellEnd"/>
      <w:r w:rsidRPr="00201F46">
        <w:rPr>
          <w:rFonts w:ascii="Tahoma" w:hAnsi="Tahoma" w:cs="Tahoma"/>
          <w:color w:val="0D0D0D" w:themeColor="text1" w:themeTint="F2"/>
          <w:sz w:val="22"/>
          <w:szCs w:val="22"/>
        </w:rPr>
        <w:t xml:space="preserve"> i FISH za potrebe Kliničkog zavoda </w:t>
      </w:r>
      <w:r w:rsidR="00AC1D77">
        <w:rPr>
          <w:rFonts w:ascii="Tahoma" w:hAnsi="Tahoma" w:cs="Tahoma"/>
          <w:color w:val="0D0D0D" w:themeColor="text1" w:themeTint="F2"/>
          <w:sz w:val="22"/>
          <w:szCs w:val="22"/>
        </w:rPr>
        <w:t>za laboratorijsku dijagnostiku</w:t>
      </w:r>
      <w:r w:rsidRPr="00201F46">
        <w:rPr>
          <w:rFonts w:ascii="Tahoma" w:hAnsi="Tahoma" w:cs="Tahoma"/>
          <w:color w:val="0D0D0D" w:themeColor="text1" w:themeTint="F2"/>
          <w:sz w:val="22"/>
          <w:szCs w:val="22"/>
        </w:rPr>
        <w:t xml:space="preserve">, programski paket za automatizaciju i optimizaciju slanja računa u Hrvatski zavod za zdravstveno osiguranje te </w:t>
      </w:r>
      <w:proofErr w:type="spellStart"/>
      <w:r w:rsidRPr="00201F46">
        <w:rPr>
          <w:rFonts w:ascii="Tahoma" w:hAnsi="Tahoma" w:cs="Tahoma"/>
          <w:color w:val="0D0D0D" w:themeColor="text1" w:themeTint="F2"/>
          <w:sz w:val="22"/>
          <w:szCs w:val="22"/>
        </w:rPr>
        <w:t>reimplementaciju</w:t>
      </w:r>
      <w:proofErr w:type="spellEnd"/>
      <w:r w:rsidRPr="00201F46">
        <w:rPr>
          <w:rFonts w:ascii="Tahoma" w:hAnsi="Tahoma" w:cs="Tahoma"/>
          <w:color w:val="0D0D0D" w:themeColor="text1" w:themeTint="F2"/>
          <w:sz w:val="22"/>
          <w:szCs w:val="22"/>
        </w:rPr>
        <w:t xml:space="preserve"> bolničkog info</w:t>
      </w:r>
      <w:r w:rsidR="00AC1D77">
        <w:rPr>
          <w:rFonts w:ascii="Tahoma" w:hAnsi="Tahoma" w:cs="Tahoma"/>
          <w:color w:val="0D0D0D" w:themeColor="text1" w:themeTint="F2"/>
          <w:sz w:val="22"/>
          <w:szCs w:val="22"/>
        </w:rPr>
        <w:t>rmacijskog sustava</w:t>
      </w:r>
      <w:r w:rsidRPr="00201F46">
        <w:rPr>
          <w:rFonts w:ascii="Tahoma" w:hAnsi="Tahoma" w:cs="Tahoma"/>
          <w:color w:val="0D0D0D" w:themeColor="text1" w:themeTint="F2"/>
          <w:sz w:val="22"/>
          <w:szCs w:val="22"/>
        </w:rPr>
        <w:t>.</w:t>
      </w:r>
    </w:p>
    <w:p w:rsidR="00201F46" w:rsidRPr="00201F46" w:rsidRDefault="00201F46" w:rsidP="00201F46">
      <w:pPr>
        <w:jc w:val="both"/>
        <w:rPr>
          <w:rFonts w:ascii="Tahoma" w:hAnsi="Tahoma" w:cs="Tahoma"/>
          <w:sz w:val="22"/>
          <w:szCs w:val="22"/>
        </w:rPr>
      </w:pPr>
    </w:p>
    <w:p w:rsidR="00201F46" w:rsidRPr="00201F46" w:rsidRDefault="00201F46" w:rsidP="00201F46">
      <w:pPr>
        <w:jc w:val="both"/>
        <w:rPr>
          <w:rFonts w:ascii="Tahoma" w:hAnsi="Tahoma" w:cs="Tahoma"/>
          <w:sz w:val="22"/>
          <w:szCs w:val="22"/>
        </w:rPr>
      </w:pPr>
      <w:r w:rsidRPr="00201F46">
        <w:rPr>
          <w:rFonts w:ascii="Tahoma" w:hAnsi="Tahoma" w:cs="Tahoma"/>
          <w:b/>
          <w:sz w:val="22"/>
          <w:szCs w:val="22"/>
          <w:u w:val="single"/>
        </w:rPr>
        <w:t>Građevinski objekti u pripremi (Šifra 051)</w:t>
      </w:r>
      <w:r w:rsidRPr="00201F46">
        <w:rPr>
          <w:rFonts w:ascii="Tahoma" w:hAnsi="Tahoma" w:cs="Tahoma"/>
          <w:sz w:val="22"/>
          <w:szCs w:val="22"/>
          <w:u w:val="single"/>
        </w:rPr>
        <w:t xml:space="preserve"> </w:t>
      </w:r>
      <w:r w:rsidRPr="00201F46">
        <w:rPr>
          <w:rFonts w:ascii="Tahoma" w:hAnsi="Tahoma" w:cs="Tahoma"/>
          <w:sz w:val="22"/>
          <w:szCs w:val="22"/>
        </w:rPr>
        <w:t xml:space="preserve">na dan 31. prosinca 2024. godine iskazani su u iznosu od 89.595.497 EUR što je višestruko povećanje u odnosu na isti datum 2023. godine. </w:t>
      </w:r>
    </w:p>
    <w:p w:rsidR="00201F46" w:rsidRPr="00201F46" w:rsidRDefault="00201F46" w:rsidP="00201F46">
      <w:pPr>
        <w:jc w:val="both"/>
        <w:rPr>
          <w:rFonts w:ascii="Tahoma" w:hAnsi="Tahoma" w:cs="Tahoma"/>
          <w:sz w:val="22"/>
          <w:szCs w:val="22"/>
        </w:rPr>
      </w:pPr>
    </w:p>
    <w:p w:rsidR="00201F46" w:rsidRPr="00201F46" w:rsidRDefault="00201F46" w:rsidP="00201F46">
      <w:pPr>
        <w:jc w:val="both"/>
        <w:rPr>
          <w:rFonts w:ascii="Tahoma" w:hAnsi="Tahoma" w:cs="Tahoma"/>
          <w:color w:val="0D0D0D" w:themeColor="text1" w:themeTint="F2"/>
          <w:sz w:val="22"/>
          <w:szCs w:val="22"/>
        </w:rPr>
      </w:pPr>
      <w:r w:rsidRPr="00201F46">
        <w:rPr>
          <w:rFonts w:ascii="Tahoma" w:hAnsi="Tahoma" w:cs="Tahoma"/>
          <w:sz w:val="22"/>
          <w:szCs w:val="22"/>
        </w:rPr>
        <w:t xml:space="preserve">Na povećanje vrijednosti građevinskih objekata u pripremi utjecalo </w:t>
      </w:r>
      <w:r w:rsidRPr="00201F46">
        <w:rPr>
          <w:rFonts w:ascii="Tahoma" w:hAnsi="Tahoma" w:cs="Tahoma"/>
          <w:color w:val="0D0D0D" w:themeColor="text1" w:themeTint="F2"/>
          <w:sz w:val="22"/>
          <w:szCs w:val="22"/>
        </w:rPr>
        <w:t xml:space="preserve">je dodatno ulaganje na građevinskim objektima koji se odnose na radove na obnovi šteta od potresa za Projekt obnove od potresa bolnice Petrove 13 (FSEU.2021.MZ.004.), Projekt obnove od potresa Klinike za plućne bolesti KBC-a Zagreb na lokaciji </w:t>
      </w:r>
      <w:proofErr w:type="spellStart"/>
      <w:r w:rsidRPr="00201F46">
        <w:rPr>
          <w:rFonts w:ascii="Tahoma" w:hAnsi="Tahoma" w:cs="Tahoma"/>
          <w:color w:val="0D0D0D" w:themeColor="text1" w:themeTint="F2"/>
          <w:sz w:val="22"/>
          <w:szCs w:val="22"/>
        </w:rPr>
        <w:t>Jordanovac</w:t>
      </w:r>
      <w:proofErr w:type="spellEnd"/>
      <w:r w:rsidRPr="00201F46">
        <w:rPr>
          <w:rFonts w:ascii="Tahoma" w:hAnsi="Tahoma" w:cs="Tahoma"/>
          <w:color w:val="0D0D0D" w:themeColor="text1" w:themeTint="F2"/>
          <w:sz w:val="22"/>
          <w:szCs w:val="22"/>
        </w:rPr>
        <w:t xml:space="preserve"> (FSEU.2021.MZ.010.), Projekt cjelovite obnove od potresa Glavne zgrade KBC-a Zagreb na lokaciji </w:t>
      </w:r>
      <w:proofErr w:type="spellStart"/>
      <w:r w:rsidRPr="00201F46">
        <w:rPr>
          <w:rFonts w:ascii="Tahoma" w:hAnsi="Tahoma" w:cs="Tahoma"/>
          <w:color w:val="0D0D0D" w:themeColor="text1" w:themeTint="F2"/>
          <w:sz w:val="22"/>
          <w:szCs w:val="22"/>
        </w:rPr>
        <w:t>Kišpatićeva</w:t>
      </w:r>
      <w:proofErr w:type="spellEnd"/>
      <w:r w:rsidRPr="00201F46">
        <w:rPr>
          <w:rFonts w:ascii="Tahoma" w:hAnsi="Tahoma" w:cs="Tahoma"/>
          <w:color w:val="0D0D0D" w:themeColor="text1" w:themeTint="F2"/>
          <w:sz w:val="22"/>
          <w:szCs w:val="22"/>
        </w:rPr>
        <w:t xml:space="preserve"> 12 (FSEU.2021.MZ.024.) i Projekt cjelovite obnove od potresa Žute zgrade u sklopu kompleksa KBC-a Rebro (FSEU.2021.MZ.035.) u ukupnom iznosu od 56.218.267 EUR. </w:t>
      </w:r>
    </w:p>
    <w:p w:rsidR="00201F46" w:rsidRPr="00201F46" w:rsidRDefault="00201F46" w:rsidP="00201F46">
      <w:pPr>
        <w:jc w:val="both"/>
        <w:rPr>
          <w:rFonts w:ascii="Tahoma" w:hAnsi="Tahoma" w:cs="Tahoma"/>
          <w:color w:val="0D0D0D" w:themeColor="text1" w:themeTint="F2"/>
          <w:sz w:val="22"/>
          <w:szCs w:val="22"/>
        </w:rPr>
      </w:pPr>
      <w:r w:rsidRPr="00201F46">
        <w:rPr>
          <w:rFonts w:ascii="Tahoma" w:hAnsi="Tahoma" w:cs="Tahoma"/>
          <w:color w:val="0D0D0D" w:themeColor="text1" w:themeTint="F2"/>
          <w:sz w:val="22"/>
          <w:szCs w:val="22"/>
        </w:rPr>
        <w:t>Značajnija dodatna ulaganja na građevinskim objektima odnose se na uređenje prostora za smj</w:t>
      </w:r>
      <w:r w:rsidR="00910469">
        <w:rPr>
          <w:rFonts w:ascii="Tahoma" w:hAnsi="Tahoma" w:cs="Tahoma"/>
          <w:color w:val="0D0D0D" w:themeColor="text1" w:themeTint="F2"/>
          <w:sz w:val="22"/>
          <w:szCs w:val="22"/>
        </w:rPr>
        <w:t>eštaj MR 3T uređaja</w:t>
      </w:r>
      <w:r w:rsidRPr="00201F46">
        <w:rPr>
          <w:rFonts w:ascii="Tahoma" w:hAnsi="Tahoma" w:cs="Tahoma"/>
          <w:color w:val="0D0D0D" w:themeColor="text1" w:themeTint="F2"/>
          <w:sz w:val="22"/>
          <w:szCs w:val="22"/>
        </w:rPr>
        <w:t>, adaptaciju dijela prizemlja Objedinjenog hitnog bolničkog prije</w:t>
      </w:r>
      <w:r w:rsidR="00910469">
        <w:rPr>
          <w:rFonts w:ascii="Tahoma" w:hAnsi="Tahoma" w:cs="Tahoma"/>
          <w:color w:val="0D0D0D" w:themeColor="text1" w:themeTint="F2"/>
          <w:sz w:val="22"/>
          <w:szCs w:val="22"/>
        </w:rPr>
        <w:t>ma za smještaj CT-a</w:t>
      </w:r>
      <w:r w:rsidRPr="00201F46">
        <w:rPr>
          <w:rFonts w:ascii="Tahoma" w:hAnsi="Tahoma" w:cs="Tahoma"/>
          <w:color w:val="0D0D0D" w:themeColor="text1" w:themeTint="F2"/>
          <w:sz w:val="22"/>
          <w:szCs w:val="22"/>
        </w:rPr>
        <w:t>, adaptaciju prostora za preseljenje dijela centraln</w:t>
      </w:r>
      <w:r w:rsidR="00910469">
        <w:rPr>
          <w:rFonts w:ascii="Tahoma" w:hAnsi="Tahoma" w:cs="Tahoma"/>
          <w:color w:val="0D0D0D" w:themeColor="text1" w:themeTint="F2"/>
          <w:sz w:val="22"/>
          <w:szCs w:val="22"/>
        </w:rPr>
        <w:t>e ljekarne i CPC-a</w:t>
      </w:r>
      <w:r w:rsidRPr="00201F46">
        <w:rPr>
          <w:rFonts w:ascii="Tahoma" w:hAnsi="Tahoma" w:cs="Tahoma"/>
          <w:color w:val="0D0D0D" w:themeColor="text1" w:themeTint="F2"/>
          <w:sz w:val="22"/>
          <w:szCs w:val="22"/>
        </w:rPr>
        <w:t xml:space="preserve"> te radove na rekonstrukciji i adaptaciji prostora za smještaj linearnih akceleratora n</w:t>
      </w:r>
      <w:r w:rsidR="00910469">
        <w:rPr>
          <w:rFonts w:ascii="Tahoma" w:hAnsi="Tahoma" w:cs="Tahoma"/>
          <w:color w:val="0D0D0D" w:themeColor="text1" w:themeTint="F2"/>
          <w:sz w:val="22"/>
          <w:szCs w:val="22"/>
        </w:rPr>
        <w:t>a lokaciji Rebro</w:t>
      </w:r>
      <w:r w:rsidRPr="00201F46">
        <w:rPr>
          <w:rFonts w:ascii="Tahoma" w:hAnsi="Tahoma" w:cs="Tahoma"/>
          <w:color w:val="0D0D0D" w:themeColor="text1" w:themeTint="F2"/>
          <w:sz w:val="22"/>
          <w:szCs w:val="22"/>
        </w:rPr>
        <w:t>.</w:t>
      </w:r>
    </w:p>
    <w:p w:rsidR="00201F46" w:rsidRPr="00201F46" w:rsidRDefault="00201F46" w:rsidP="00201F46">
      <w:pPr>
        <w:jc w:val="both"/>
        <w:rPr>
          <w:rFonts w:ascii="Tahoma" w:hAnsi="Tahoma" w:cs="Tahoma"/>
          <w:sz w:val="22"/>
          <w:szCs w:val="22"/>
        </w:rPr>
      </w:pPr>
      <w:r w:rsidRPr="00201F46">
        <w:rPr>
          <w:rFonts w:ascii="Tahoma" w:hAnsi="Tahoma" w:cs="Tahoma"/>
          <w:b/>
          <w:sz w:val="22"/>
          <w:szCs w:val="22"/>
          <w:u w:val="single"/>
        </w:rPr>
        <w:lastRenderedPageBreak/>
        <w:t>Zalihe za obavljanje djelatnosti (Šifra 061)</w:t>
      </w:r>
      <w:r w:rsidRPr="00201F46">
        <w:rPr>
          <w:rFonts w:ascii="Tahoma" w:hAnsi="Tahoma" w:cs="Tahoma"/>
          <w:b/>
          <w:sz w:val="22"/>
          <w:szCs w:val="22"/>
        </w:rPr>
        <w:t xml:space="preserve"> </w:t>
      </w:r>
      <w:r w:rsidRPr="00201F46">
        <w:rPr>
          <w:rFonts w:ascii="Tahoma" w:hAnsi="Tahoma" w:cs="Tahoma"/>
          <w:sz w:val="22"/>
          <w:szCs w:val="22"/>
        </w:rPr>
        <w:t>na dan 31. prosinca 2024. godine iskazane su u iznosu od 3.487.240 EUR što je za 41,0% manje u odnosu na isti datum 2023. godine.</w:t>
      </w:r>
    </w:p>
    <w:p w:rsidR="00201F46" w:rsidRPr="00201F46" w:rsidRDefault="00201F46" w:rsidP="00201F46">
      <w:pPr>
        <w:jc w:val="both"/>
        <w:rPr>
          <w:rFonts w:ascii="Tahoma" w:hAnsi="Tahoma" w:cs="Tahoma"/>
          <w:color w:val="FF0000"/>
          <w:sz w:val="22"/>
          <w:szCs w:val="22"/>
        </w:rPr>
      </w:pPr>
    </w:p>
    <w:p w:rsidR="00201F46" w:rsidRPr="00201F46" w:rsidRDefault="00201F46" w:rsidP="00201F46">
      <w:pPr>
        <w:jc w:val="both"/>
        <w:rPr>
          <w:rFonts w:ascii="Tahoma" w:hAnsi="Tahoma" w:cs="Tahoma"/>
          <w:color w:val="0D0D0D" w:themeColor="text1" w:themeTint="F2"/>
          <w:sz w:val="22"/>
          <w:szCs w:val="22"/>
        </w:rPr>
      </w:pPr>
      <w:r w:rsidRPr="00201F46">
        <w:rPr>
          <w:rFonts w:ascii="Tahoma" w:hAnsi="Tahoma" w:cs="Tahoma"/>
          <w:color w:val="0D0D0D" w:themeColor="text1" w:themeTint="F2"/>
          <w:sz w:val="22"/>
          <w:szCs w:val="22"/>
        </w:rPr>
        <w:t>Smanjenje zaliha za obavljanje djelatnosti rezultat je sustavnog praćenja zaliha u bolničkom zdravstvenom sustavu. Uvedena je obveza kontinuiranog mjesečnog praćenja zaliha lijekova i medicinskog potrošnog materijala.</w:t>
      </w:r>
    </w:p>
    <w:p w:rsidR="00201F46" w:rsidRPr="00201F46" w:rsidRDefault="00201F46" w:rsidP="00201F46">
      <w:pPr>
        <w:jc w:val="both"/>
        <w:rPr>
          <w:rFonts w:ascii="Tahoma" w:hAnsi="Tahoma" w:cs="Tahoma"/>
          <w:color w:val="0D0D0D" w:themeColor="text1" w:themeTint="F2"/>
          <w:sz w:val="22"/>
          <w:szCs w:val="22"/>
        </w:rPr>
      </w:pPr>
    </w:p>
    <w:p w:rsidR="00201F46" w:rsidRPr="00201F46" w:rsidRDefault="00201F46" w:rsidP="00201F46">
      <w:pPr>
        <w:jc w:val="both"/>
        <w:rPr>
          <w:rFonts w:ascii="Tahoma" w:hAnsi="Tahoma" w:cs="Tahoma"/>
          <w:sz w:val="22"/>
          <w:szCs w:val="22"/>
        </w:rPr>
      </w:pPr>
      <w:r w:rsidRPr="00201F46">
        <w:rPr>
          <w:rFonts w:ascii="Tahoma" w:hAnsi="Tahoma" w:cs="Tahoma"/>
          <w:b/>
          <w:sz w:val="22"/>
          <w:szCs w:val="22"/>
          <w:u w:val="single"/>
        </w:rPr>
        <w:t>Ostala potraživanja (Šifra 129)</w:t>
      </w:r>
      <w:r w:rsidRPr="00201F46">
        <w:rPr>
          <w:rFonts w:ascii="Tahoma" w:hAnsi="Tahoma" w:cs="Tahoma"/>
          <w:b/>
          <w:sz w:val="22"/>
          <w:szCs w:val="22"/>
        </w:rPr>
        <w:t xml:space="preserve"> </w:t>
      </w:r>
      <w:r w:rsidRPr="00201F46">
        <w:rPr>
          <w:rFonts w:ascii="Tahoma" w:hAnsi="Tahoma" w:cs="Tahoma"/>
          <w:sz w:val="22"/>
          <w:szCs w:val="22"/>
        </w:rPr>
        <w:t>na dan 31</w:t>
      </w:r>
      <w:r w:rsidR="00D7592B">
        <w:rPr>
          <w:rFonts w:ascii="Tahoma" w:hAnsi="Tahoma" w:cs="Tahoma"/>
          <w:sz w:val="22"/>
          <w:szCs w:val="22"/>
        </w:rPr>
        <w:t>. prosinca 2024. godine iskazana</w:t>
      </w:r>
      <w:r w:rsidRPr="00201F46">
        <w:rPr>
          <w:rFonts w:ascii="Tahoma" w:hAnsi="Tahoma" w:cs="Tahoma"/>
          <w:sz w:val="22"/>
          <w:szCs w:val="22"/>
        </w:rPr>
        <w:t xml:space="preserve"> su u iznosu od 898.419 EUR što je za 61,1% manje u odnosu na isti datum 2023. godine.</w:t>
      </w:r>
    </w:p>
    <w:p w:rsidR="00201F46" w:rsidRPr="00201F46" w:rsidRDefault="00201F46" w:rsidP="00201F46">
      <w:pPr>
        <w:jc w:val="both"/>
        <w:rPr>
          <w:rFonts w:ascii="Tahoma" w:hAnsi="Tahoma" w:cs="Tahoma"/>
          <w:color w:val="FF0000"/>
          <w:sz w:val="22"/>
          <w:szCs w:val="22"/>
        </w:rPr>
      </w:pPr>
    </w:p>
    <w:p w:rsidR="00201F46" w:rsidRPr="00201F46" w:rsidRDefault="00201F46" w:rsidP="00201F46">
      <w:pPr>
        <w:jc w:val="both"/>
        <w:rPr>
          <w:rFonts w:ascii="Tahoma" w:hAnsi="Tahoma" w:cs="Tahoma"/>
          <w:color w:val="0D0D0D" w:themeColor="text1" w:themeTint="F2"/>
          <w:sz w:val="22"/>
          <w:szCs w:val="22"/>
        </w:rPr>
      </w:pPr>
      <w:r w:rsidRPr="00201F46">
        <w:rPr>
          <w:rFonts w:ascii="Tahoma" w:hAnsi="Tahoma" w:cs="Tahoma"/>
          <w:color w:val="0D0D0D" w:themeColor="text1" w:themeTint="F2"/>
          <w:sz w:val="22"/>
          <w:szCs w:val="22"/>
        </w:rPr>
        <w:t>Smanjenje ostalih potraživanja rezultat je više refundiranih sredstava HZZO-a za naknade plaća zbog bolovanja dužeg od 42 dana, kao i za naknade plaća vezane uz ozljede na radu i profesionalne bolesti.</w:t>
      </w:r>
    </w:p>
    <w:p w:rsidR="00201F46" w:rsidRPr="00201F46" w:rsidRDefault="00201F46" w:rsidP="00201F46">
      <w:pPr>
        <w:jc w:val="both"/>
        <w:rPr>
          <w:rFonts w:ascii="Tahoma" w:hAnsi="Tahoma" w:cs="Tahoma"/>
          <w:color w:val="0D0D0D" w:themeColor="text1" w:themeTint="F2"/>
          <w:sz w:val="22"/>
          <w:szCs w:val="22"/>
        </w:rPr>
      </w:pPr>
    </w:p>
    <w:p w:rsidR="00201F46" w:rsidRPr="00201F46" w:rsidRDefault="00201F46" w:rsidP="00201F46">
      <w:pPr>
        <w:jc w:val="both"/>
        <w:rPr>
          <w:rFonts w:ascii="Tahoma" w:hAnsi="Tahoma" w:cs="Tahoma"/>
          <w:sz w:val="22"/>
          <w:szCs w:val="22"/>
        </w:rPr>
      </w:pPr>
      <w:r w:rsidRPr="00201F46">
        <w:rPr>
          <w:rFonts w:ascii="Tahoma" w:hAnsi="Tahoma" w:cs="Tahoma"/>
          <w:b/>
          <w:sz w:val="22"/>
          <w:szCs w:val="22"/>
          <w:u w:val="single"/>
        </w:rPr>
        <w:t>Vrijednosni papiri (Šifra 14)</w:t>
      </w:r>
      <w:r w:rsidRPr="00201F46">
        <w:rPr>
          <w:rFonts w:ascii="Tahoma" w:hAnsi="Tahoma" w:cs="Tahoma"/>
          <w:sz w:val="22"/>
          <w:szCs w:val="22"/>
          <w:u w:val="single"/>
        </w:rPr>
        <w:t xml:space="preserve"> </w:t>
      </w:r>
      <w:r w:rsidRPr="00201F46">
        <w:rPr>
          <w:rFonts w:ascii="Tahoma" w:hAnsi="Tahoma" w:cs="Tahoma"/>
          <w:sz w:val="22"/>
          <w:szCs w:val="22"/>
        </w:rPr>
        <w:t xml:space="preserve">na dan 31. prosinca 2024. godine iskazani su u iznosu od 187.722 EUR što je višestruko </w:t>
      </w:r>
      <w:r w:rsidR="00CB546E">
        <w:rPr>
          <w:rFonts w:ascii="Tahoma" w:hAnsi="Tahoma" w:cs="Tahoma"/>
          <w:sz w:val="22"/>
          <w:szCs w:val="22"/>
        </w:rPr>
        <w:t>povećanje</w:t>
      </w:r>
      <w:r w:rsidRPr="00201F46">
        <w:rPr>
          <w:rFonts w:ascii="Tahoma" w:hAnsi="Tahoma" w:cs="Tahoma"/>
          <w:sz w:val="22"/>
          <w:szCs w:val="22"/>
        </w:rPr>
        <w:t xml:space="preserve"> u odnosu na isti datum 2023. godine.</w:t>
      </w:r>
    </w:p>
    <w:p w:rsidR="00201F46" w:rsidRPr="00201F46" w:rsidRDefault="00201F46" w:rsidP="00201F46">
      <w:pPr>
        <w:jc w:val="both"/>
        <w:rPr>
          <w:rFonts w:ascii="Tahoma" w:hAnsi="Tahoma" w:cs="Tahoma"/>
          <w:sz w:val="22"/>
          <w:szCs w:val="22"/>
          <w:u w:val="single"/>
        </w:rPr>
      </w:pPr>
    </w:p>
    <w:p w:rsidR="00201F46" w:rsidRPr="00201F46" w:rsidRDefault="00201F46" w:rsidP="00201F46">
      <w:pPr>
        <w:jc w:val="both"/>
        <w:rPr>
          <w:rFonts w:ascii="Tahoma" w:hAnsi="Tahoma" w:cs="Tahoma"/>
          <w:sz w:val="22"/>
          <w:szCs w:val="22"/>
        </w:rPr>
      </w:pPr>
      <w:r w:rsidRPr="00201F46">
        <w:rPr>
          <w:rFonts w:ascii="Tahoma" w:hAnsi="Tahoma" w:cs="Tahoma"/>
          <w:sz w:val="22"/>
          <w:szCs w:val="22"/>
        </w:rPr>
        <w:t xml:space="preserve">Povećanje vrijednosnih papira rezultat je usklađenja potraživanja temeljem potvrde obveze Ministarstva financija prema Kliničkom bolničkom centru Zagreb. Radi se o konvertibilnim sredstvima iz stare devizne štednje s pripadajućim obveznicima. Ministarstvo financija potvrdilo je kako njihova obveza prema KBC-u Zagreb, sukladno Zakonu o prodaji stanova na kojima postoji stanarsko pravo, iznosi 187.721,88 EUR. </w:t>
      </w:r>
    </w:p>
    <w:p w:rsidR="00201F46" w:rsidRPr="00201F46" w:rsidRDefault="00201F46" w:rsidP="00201F46">
      <w:pPr>
        <w:jc w:val="both"/>
        <w:rPr>
          <w:rFonts w:ascii="Tahoma" w:hAnsi="Tahoma" w:cs="Tahoma"/>
          <w:b/>
          <w:sz w:val="22"/>
          <w:szCs w:val="22"/>
          <w:u w:val="single"/>
        </w:rPr>
      </w:pPr>
    </w:p>
    <w:p w:rsidR="00201F46" w:rsidRPr="00201F46" w:rsidRDefault="00201F46" w:rsidP="00201F46">
      <w:pPr>
        <w:jc w:val="both"/>
        <w:rPr>
          <w:rFonts w:ascii="Tahoma" w:hAnsi="Tahoma" w:cs="Tahoma"/>
          <w:sz w:val="22"/>
          <w:szCs w:val="22"/>
        </w:rPr>
      </w:pPr>
      <w:r w:rsidRPr="00201F46">
        <w:rPr>
          <w:rFonts w:ascii="Tahoma" w:hAnsi="Tahoma" w:cs="Tahoma"/>
          <w:b/>
          <w:sz w:val="22"/>
          <w:szCs w:val="22"/>
          <w:u w:val="single"/>
        </w:rPr>
        <w:t>Potraživanja za prihode poslovanja (Šifra 16)</w:t>
      </w:r>
      <w:r w:rsidRPr="00201F46">
        <w:rPr>
          <w:rFonts w:ascii="Tahoma" w:hAnsi="Tahoma" w:cs="Tahoma"/>
          <w:sz w:val="22"/>
          <w:szCs w:val="22"/>
          <w:u w:val="single"/>
        </w:rPr>
        <w:t xml:space="preserve"> </w:t>
      </w:r>
      <w:r w:rsidRPr="00201F46">
        <w:rPr>
          <w:rFonts w:ascii="Tahoma" w:hAnsi="Tahoma" w:cs="Tahoma"/>
          <w:sz w:val="22"/>
          <w:szCs w:val="22"/>
        </w:rPr>
        <w:t>na dan 31</w:t>
      </w:r>
      <w:r w:rsidR="00C63FBA">
        <w:rPr>
          <w:rFonts w:ascii="Tahoma" w:hAnsi="Tahoma" w:cs="Tahoma"/>
          <w:sz w:val="22"/>
          <w:szCs w:val="22"/>
        </w:rPr>
        <w:t>. prosinca 2024. godine iskazana</w:t>
      </w:r>
      <w:r w:rsidRPr="00201F46">
        <w:rPr>
          <w:rFonts w:ascii="Tahoma" w:hAnsi="Tahoma" w:cs="Tahoma"/>
          <w:sz w:val="22"/>
          <w:szCs w:val="22"/>
        </w:rPr>
        <w:t xml:space="preserve"> su u iznosu od 72.265.921 EUR što je za 31,7% više u odnosu na isti datum 2023. godine.</w:t>
      </w:r>
    </w:p>
    <w:p w:rsidR="00201F46" w:rsidRPr="00201F46" w:rsidRDefault="00201F46" w:rsidP="00201F46">
      <w:pPr>
        <w:jc w:val="both"/>
        <w:rPr>
          <w:rFonts w:ascii="Tahoma" w:hAnsi="Tahoma" w:cs="Tahoma"/>
          <w:color w:val="0D0D0D" w:themeColor="text1" w:themeTint="F2"/>
          <w:sz w:val="22"/>
          <w:szCs w:val="22"/>
          <w:u w:val="single"/>
        </w:rPr>
      </w:pPr>
    </w:p>
    <w:p w:rsidR="00201F46" w:rsidRPr="00201F46" w:rsidRDefault="00201F46" w:rsidP="00201F46">
      <w:pPr>
        <w:pStyle w:val="NoSpacing"/>
        <w:jc w:val="both"/>
        <w:rPr>
          <w:rFonts w:ascii="Tahoma" w:hAnsi="Tahoma" w:cs="Tahoma"/>
          <w:color w:val="0D0D0D" w:themeColor="text1" w:themeTint="F2"/>
        </w:rPr>
      </w:pPr>
      <w:r w:rsidRPr="00201F46">
        <w:rPr>
          <w:rFonts w:ascii="Tahoma" w:hAnsi="Tahoma" w:cs="Tahoma"/>
          <w:color w:val="0D0D0D" w:themeColor="text1" w:themeTint="F2"/>
        </w:rPr>
        <w:t>Potraživanja za participacije i dopunsko osiguranje bilježe rast od 20,4%, potraživanja za prihode ostvarene na tržištu bilježe rast od 7,0%, a potraživanja proračunskih korisnika za sredstva uplaćena u proračun i za prihode od HZZO na temelju ugovornih ob</w:t>
      </w:r>
      <w:r w:rsidR="00513343">
        <w:rPr>
          <w:rFonts w:ascii="Tahoma" w:hAnsi="Tahoma" w:cs="Tahoma"/>
          <w:color w:val="0D0D0D" w:themeColor="text1" w:themeTint="F2"/>
        </w:rPr>
        <w:t>veza bilježe rast od 17</w:t>
      </w:r>
      <w:r w:rsidRPr="00201F46">
        <w:rPr>
          <w:rFonts w:ascii="Tahoma" w:hAnsi="Tahoma" w:cs="Tahoma"/>
          <w:color w:val="0D0D0D" w:themeColor="text1" w:themeTint="F2"/>
        </w:rPr>
        <w:t xml:space="preserve">%. </w:t>
      </w:r>
    </w:p>
    <w:p w:rsidR="00201F46" w:rsidRPr="00201F46" w:rsidRDefault="00201F46" w:rsidP="00201F46">
      <w:pPr>
        <w:pStyle w:val="NoSpacing"/>
        <w:jc w:val="both"/>
        <w:rPr>
          <w:rFonts w:ascii="Tahoma" w:hAnsi="Tahoma" w:cs="Tahoma"/>
        </w:rPr>
      </w:pPr>
    </w:p>
    <w:p w:rsidR="00201F46" w:rsidRPr="00201F46" w:rsidRDefault="00201F46" w:rsidP="00201F46">
      <w:pPr>
        <w:pStyle w:val="NoSpacing"/>
        <w:jc w:val="both"/>
        <w:rPr>
          <w:rFonts w:ascii="Tahoma" w:hAnsi="Tahoma" w:cs="Tahoma"/>
        </w:rPr>
      </w:pPr>
    </w:p>
    <w:tbl>
      <w:tblPr>
        <w:tblW w:w="9072" w:type="dxa"/>
        <w:jc w:val="center"/>
        <w:tblLook w:val="04A0" w:firstRow="1" w:lastRow="0" w:firstColumn="1" w:lastColumn="0" w:noHBand="0" w:noVBand="1"/>
      </w:tblPr>
      <w:tblGrid>
        <w:gridCol w:w="4678"/>
        <w:gridCol w:w="1701"/>
        <w:gridCol w:w="1701"/>
        <w:gridCol w:w="992"/>
      </w:tblGrid>
      <w:tr w:rsidR="00201F46" w:rsidRPr="00201F46" w:rsidTr="007A1C80">
        <w:trPr>
          <w:trHeight w:val="315"/>
          <w:jc w:val="center"/>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1F46" w:rsidRPr="00201F46" w:rsidRDefault="00201F46" w:rsidP="007A1C80">
            <w:pPr>
              <w:rPr>
                <w:rFonts w:ascii="Tahoma" w:hAnsi="Tahoma" w:cs="Tahoma"/>
                <w:color w:val="000000"/>
                <w:sz w:val="20"/>
                <w:szCs w:val="22"/>
                <w:lang w:eastAsia="hr-HR"/>
              </w:rPr>
            </w:pPr>
            <w:r w:rsidRPr="00201F46">
              <w:rPr>
                <w:rFonts w:ascii="Tahoma" w:hAnsi="Tahoma" w:cs="Tahoma"/>
                <w:color w:val="000000"/>
                <w:sz w:val="20"/>
                <w:szCs w:val="22"/>
              </w:rPr>
              <w:t>Naziv pozicije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201F46" w:rsidRPr="00201F46" w:rsidRDefault="00201F46" w:rsidP="007A1C80">
            <w:pPr>
              <w:rPr>
                <w:rFonts w:ascii="Tahoma" w:hAnsi="Tahoma" w:cs="Tahoma"/>
                <w:color w:val="000000"/>
                <w:sz w:val="20"/>
                <w:szCs w:val="22"/>
              </w:rPr>
            </w:pPr>
            <w:r w:rsidRPr="00201F46">
              <w:rPr>
                <w:rFonts w:ascii="Tahoma" w:hAnsi="Tahoma" w:cs="Tahoma"/>
                <w:color w:val="000000"/>
                <w:sz w:val="20"/>
                <w:szCs w:val="22"/>
              </w:rPr>
              <w:t>Stanje 31.12.2023.</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201F46" w:rsidRPr="00201F46" w:rsidRDefault="00201F46" w:rsidP="007A1C80">
            <w:pPr>
              <w:rPr>
                <w:rFonts w:ascii="Tahoma" w:hAnsi="Tahoma" w:cs="Tahoma"/>
                <w:color w:val="000000"/>
                <w:sz w:val="20"/>
                <w:szCs w:val="22"/>
              </w:rPr>
            </w:pPr>
            <w:r w:rsidRPr="00201F46">
              <w:rPr>
                <w:rFonts w:ascii="Tahoma" w:hAnsi="Tahoma" w:cs="Tahoma"/>
                <w:color w:val="000000"/>
                <w:sz w:val="20"/>
                <w:szCs w:val="22"/>
              </w:rPr>
              <w:t>Stanje 31.12.2024.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201F46" w:rsidRPr="00201F46" w:rsidRDefault="00201F46" w:rsidP="007A1C80">
            <w:pPr>
              <w:rPr>
                <w:rFonts w:ascii="Tahoma" w:hAnsi="Tahoma" w:cs="Tahoma"/>
                <w:color w:val="000000"/>
                <w:sz w:val="20"/>
                <w:szCs w:val="22"/>
              </w:rPr>
            </w:pPr>
            <w:r w:rsidRPr="00201F46">
              <w:rPr>
                <w:rFonts w:ascii="Tahoma" w:hAnsi="Tahoma" w:cs="Tahoma"/>
                <w:color w:val="000000"/>
                <w:sz w:val="20"/>
                <w:szCs w:val="22"/>
              </w:rPr>
              <w:t>Indeks</w:t>
            </w:r>
          </w:p>
        </w:tc>
      </w:tr>
      <w:tr w:rsidR="00201F46" w:rsidRPr="00201F46" w:rsidTr="007A1C80">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201F46" w:rsidRPr="00201F46" w:rsidRDefault="00201F46" w:rsidP="007A1C80">
            <w:pPr>
              <w:rPr>
                <w:rFonts w:ascii="Tahoma" w:hAnsi="Tahoma" w:cs="Tahoma"/>
                <w:color w:val="000000"/>
                <w:sz w:val="20"/>
                <w:szCs w:val="22"/>
              </w:rPr>
            </w:pPr>
            <w:r w:rsidRPr="00201F46">
              <w:rPr>
                <w:rFonts w:ascii="Tahoma" w:hAnsi="Tahoma" w:cs="Tahoma"/>
                <w:color w:val="000000"/>
                <w:sz w:val="20"/>
                <w:szCs w:val="22"/>
              </w:rPr>
              <w:t xml:space="preserve">Potraživanja za participacije i dopunsko osiguranje </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2.995.809</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3.606.208</w:t>
            </w:r>
          </w:p>
        </w:tc>
        <w:tc>
          <w:tcPr>
            <w:tcW w:w="992"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1,20</w:t>
            </w:r>
          </w:p>
        </w:tc>
      </w:tr>
      <w:tr w:rsidR="00201F46" w:rsidRPr="00201F46" w:rsidTr="007A1C80">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201F46" w:rsidRPr="00201F46" w:rsidRDefault="00201F46" w:rsidP="007A1C80">
            <w:pPr>
              <w:rPr>
                <w:rFonts w:ascii="Tahoma" w:hAnsi="Tahoma" w:cs="Tahoma"/>
                <w:color w:val="000000"/>
                <w:sz w:val="20"/>
                <w:szCs w:val="22"/>
              </w:rPr>
            </w:pPr>
            <w:r w:rsidRPr="00201F46">
              <w:rPr>
                <w:rFonts w:ascii="Tahoma" w:hAnsi="Tahoma" w:cs="Tahoma"/>
                <w:color w:val="000000"/>
                <w:sz w:val="20"/>
                <w:szCs w:val="22"/>
              </w:rPr>
              <w:t xml:space="preserve">Potraživanja za prihode ostvarene na tržištu </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6.140.793</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6.570.559</w:t>
            </w:r>
          </w:p>
        </w:tc>
        <w:tc>
          <w:tcPr>
            <w:tcW w:w="992"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1,07</w:t>
            </w:r>
          </w:p>
        </w:tc>
      </w:tr>
      <w:tr w:rsidR="00201F46" w:rsidRPr="00201F46" w:rsidTr="007A1C80">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201F46" w:rsidRPr="00201F46" w:rsidRDefault="00201F46" w:rsidP="007A1C80">
            <w:pPr>
              <w:rPr>
                <w:rFonts w:ascii="Tahoma" w:hAnsi="Tahoma" w:cs="Tahoma"/>
                <w:color w:val="000000"/>
                <w:sz w:val="20"/>
                <w:szCs w:val="22"/>
              </w:rPr>
            </w:pPr>
            <w:r w:rsidRPr="00201F46">
              <w:rPr>
                <w:rFonts w:ascii="Tahoma" w:hAnsi="Tahoma" w:cs="Tahoma"/>
                <w:color w:val="000000"/>
                <w:sz w:val="20"/>
                <w:szCs w:val="22"/>
              </w:rPr>
              <w:t xml:space="preserve">Potraživanja </w:t>
            </w:r>
            <w:proofErr w:type="spellStart"/>
            <w:r w:rsidRPr="00201F46">
              <w:rPr>
                <w:rFonts w:ascii="Tahoma" w:hAnsi="Tahoma" w:cs="Tahoma"/>
                <w:color w:val="000000"/>
                <w:sz w:val="20"/>
                <w:szCs w:val="22"/>
              </w:rPr>
              <w:t>pror</w:t>
            </w:r>
            <w:proofErr w:type="spellEnd"/>
            <w:r w:rsidRPr="00201F46">
              <w:rPr>
                <w:rFonts w:ascii="Tahoma" w:hAnsi="Tahoma" w:cs="Tahoma"/>
                <w:color w:val="000000"/>
                <w:sz w:val="20"/>
                <w:szCs w:val="22"/>
              </w:rPr>
              <w:t>. korisnika za sredstva uplaćena u proračun i za prihode od HZZO na temelju ugovornih obveza</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97.687.875</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114.321.924</w:t>
            </w:r>
          </w:p>
        </w:tc>
        <w:tc>
          <w:tcPr>
            <w:tcW w:w="992"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1,17</w:t>
            </w:r>
          </w:p>
        </w:tc>
      </w:tr>
      <w:tr w:rsidR="00201F46" w:rsidRPr="00201F46" w:rsidTr="007A1C80">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201F46" w:rsidRPr="00201F46" w:rsidRDefault="00201F46" w:rsidP="007A1C80">
            <w:pPr>
              <w:rPr>
                <w:rFonts w:ascii="Tahoma" w:hAnsi="Tahoma" w:cs="Tahoma"/>
                <w:color w:val="000000"/>
                <w:sz w:val="20"/>
                <w:szCs w:val="22"/>
              </w:rPr>
            </w:pPr>
            <w:r w:rsidRPr="00201F46">
              <w:rPr>
                <w:rFonts w:ascii="Tahoma" w:hAnsi="Tahoma" w:cs="Tahoma"/>
                <w:color w:val="000000"/>
                <w:sz w:val="20"/>
                <w:szCs w:val="22"/>
              </w:rPr>
              <w:t>Potraživanja za ostale prihode</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2.308</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4.899</w:t>
            </w:r>
          </w:p>
        </w:tc>
        <w:tc>
          <w:tcPr>
            <w:tcW w:w="992"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2,12</w:t>
            </w:r>
          </w:p>
        </w:tc>
      </w:tr>
      <w:tr w:rsidR="00201F46" w:rsidRPr="00201F46" w:rsidTr="007A1C80">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201F46" w:rsidRPr="00201F46" w:rsidRDefault="00201F46" w:rsidP="007A1C80">
            <w:pPr>
              <w:rPr>
                <w:rFonts w:ascii="Tahoma" w:hAnsi="Tahoma" w:cs="Tahoma"/>
                <w:color w:val="000000"/>
                <w:sz w:val="20"/>
                <w:szCs w:val="22"/>
              </w:rPr>
            </w:pPr>
            <w:r w:rsidRPr="00201F46">
              <w:rPr>
                <w:rFonts w:ascii="Tahoma" w:hAnsi="Tahoma" w:cs="Tahoma"/>
                <w:color w:val="000000"/>
                <w:sz w:val="20"/>
                <w:szCs w:val="22"/>
              </w:rPr>
              <w:t>Ispravak vrijednosti potraživanja</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51.958.811</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52.237.668</w:t>
            </w:r>
          </w:p>
        </w:tc>
        <w:tc>
          <w:tcPr>
            <w:tcW w:w="992"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1,01</w:t>
            </w:r>
          </w:p>
        </w:tc>
      </w:tr>
      <w:tr w:rsidR="00201F46" w:rsidRPr="00201F46" w:rsidTr="007A1C80">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201F46" w:rsidRPr="00201F46" w:rsidRDefault="00201F46" w:rsidP="007A1C80">
            <w:pPr>
              <w:rPr>
                <w:rFonts w:ascii="Tahoma" w:hAnsi="Tahoma" w:cs="Tahoma"/>
                <w:color w:val="000000"/>
                <w:sz w:val="20"/>
                <w:szCs w:val="22"/>
              </w:rPr>
            </w:pPr>
            <w:r w:rsidRPr="00201F46">
              <w:rPr>
                <w:rFonts w:ascii="Tahoma" w:hAnsi="Tahoma" w:cs="Tahoma"/>
                <w:color w:val="000000"/>
                <w:sz w:val="20"/>
                <w:szCs w:val="22"/>
              </w:rPr>
              <w:t>Sveukupno</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54.867.974</w:t>
            </w:r>
          </w:p>
        </w:tc>
        <w:tc>
          <w:tcPr>
            <w:tcW w:w="1701"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72.265.922</w:t>
            </w:r>
          </w:p>
        </w:tc>
        <w:tc>
          <w:tcPr>
            <w:tcW w:w="992" w:type="dxa"/>
            <w:tcBorders>
              <w:top w:val="nil"/>
              <w:left w:val="nil"/>
              <w:bottom w:val="single" w:sz="8" w:space="0" w:color="auto"/>
              <w:right w:val="single" w:sz="8" w:space="0" w:color="auto"/>
            </w:tcBorders>
            <w:shd w:val="clear" w:color="auto" w:fill="auto"/>
            <w:noWrap/>
            <w:vAlign w:val="center"/>
            <w:hideMark/>
          </w:tcPr>
          <w:p w:rsidR="00201F46" w:rsidRPr="00201F46" w:rsidRDefault="00201F46" w:rsidP="007A1C80">
            <w:pPr>
              <w:jc w:val="right"/>
              <w:rPr>
                <w:rFonts w:ascii="Tahoma" w:hAnsi="Tahoma" w:cs="Tahoma"/>
                <w:color w:val="000000"/>
                <w:sz w:val="20"/>
                <w:szCs w:val="22"/>
              </w:rPr>
            </w:pPr>
            <w:r w:rsidRPr="00201F46">
              <w:rPr>
                <w:rFonts w:ascii="Tahoma" w:hAnsi="Tahoma" w:cs="Tahoma"/>
                <w:color w:val="000000"/>
                <w:sz w:val="20"/>
                <w:szCs w:val="22"/>
              </w:rPr>
              <w:t>1,32</w:t>
            </w:r>
          </w:p>
        </w:tc>
      </w:tr>
    </w:tbl>
    <w:p w:rsidR="00201F46" w:rsidRPr="00201F46" w:rsidRDefault="00201F46" w:rsidP="00201F46">
      <w:pPr>
        <w:pStyle w:val="NoSpacing"/>
        <w:jc w:val="both"/>
        <w:rPr>
          <w:rFonts w:ascii="Tahoma" w:hAnsi="Tahoma" w:cs="Tahoma"/>
        </w:rPr>
      </w:pPr>
    </w:p>
    <w:p w:rsidR="00201F46" w:rsidRPr="00201F46" w:rsidRDefault="00201F46" w:rsidP="00201F46">
      <w:pPr>
        <w:pStyle w:val="NoSpacing"/>
        <w:jc w:val="both"/>
        <w:rPr>
          <w:rFonts w:ascii="Tahoma" w:hAnsi="Tahoma" w:cs="Tahoma"/>
          <w:color w:val="FF0000"/>
        </w:rPr>
      </w:pPr>
    </w:p>
    <w:p w:rsidR="00201F46" w:rsidRPr="00201F46" w:rsidRDefault="00201F46" w:rsidP="00201F46">
      <w:pPr>
        <w:pStyle w:val="NoSpacing"/>
        <w:jc w:val="both"/>
        <w:rPr>
          <w:rFonts w:ascii="Tahoma" w:hAnsi="Tahoma" w:cs="Tahoma"/>
          <w:color w:val="0D0D0D" w:themeColor="text1" w:themeTint="F2"/>
        </w:rPr>
      </w:pPr>
      <w:r w:rsidRPr="00201F46">
        <w:rPr>
          <w:rFonts w:ascii="Tahoma" w:hAnsi="Tahoma" w:cs="Tahoma"/>
          <w:color w:val="0D0D0D" w:themeColor="text1" w:themeTint="F2"/>
        </w:rPr>
        <w:t>Na porast potraživanja za participacije i dopunsko osiguranje najviše je utjecao porast potraživanja za dopunsko zdravstveno osiguranje HZZO-a koji je rezultat porasta cijena DTP-a i DTS-a. Primjenom Zakona o izmjenama i dopunama Zakona o obveznom zdravstvenom osiguranju, od 1. siječnja 2024. godine došlo je do povećanja minimalnog iznosa sudjelovanja u troškovima zdravstvene zaštite za pojedine zdravstvene usluge te maksimalnog iznosa sudjelovanja u troškovima zdravstvene zaštite, za osiguranike koji nisu osigurani dopunskim zdravstvenim osiguranjem.</w:t>
      </w:r>
    </w:p>
    <w:p w:rsidR="00201F46" w:rsidRPr="00201F46" w:rsidRDefault="00201F46" w:rsidP="00201F46">
      <w:pPr>
        <w:pStyle w:val="NoSpacing"/>
        <w:jc w:val="both"/>
        <w:rPr>
          <w:rFonts w:ascii="Tahoma" w:hAnsi="Tahoma" w:cs="Tahoma"/>
          <w:color w:val="0D0D0D" w:themeColor="text1" w:themeTint="F2"/>
        </w:rPr>
      </w:pPr>
      <w:r w:rsidRPr="00201F46">
        <w:rPr>
          <w:rFonts w:ascii="Tahoma" w:hAnsi="Tahoma" w:cs="Tahoma"/>
          <w:color w:val="0D0D0D" w:themeColor="text1" w:themeTint="F2"/>
        </w:rPr>
        <w:t>Maksimalni iznos obveznog sudjelovanja u troškovima zdravstvene zaštite po jednom ispostavljenom računu može iznositi najviše 530,88 EUR (120,26% proračunske osnovice), dok je prethodno bio ograničen na 265,44 EUR (60,13% proračunske osnovice).</w:t>
      </w:r>
    </w:p>
    <w:p w:rsidR="00201F46" w:rsidRPr="00201F46" w:rsidRDefault="00201F46" w:rsidP="00201F46">
      <w:pPr>
        <w:pStyle w:val="NoSpacing"/>
        <w:jc w:val="both"/>
        <w:rPr>
          <w:rFonts w:ascii="Tahoma" w:hAnsi="Tahoma" w:cs="Tahoma"/>
          <w:b/>
        </w:rPr>
      </w:pPr>
    </w:p>
    <w:p w:rsidR="00201F46" w:rsidRDefault="00201F46" w:rsidP="00201F46">
      <w:pPr>
        <w:pStyle w:val="NoSpacing"/>
        <w:jc w:val="both"/>
        <w:rPr>
          <w:rFonts w:ascii="Tahoma" w:hAnsi="Tahoma" w:cs="Tahoma"/>
          <w:b/>
        </w:rPr>
      </w:pPr>
      <w:r w:rsidRPr="00201F46">
        <w:rPr>
          <w:rFonts w:ascii="Tahoma" w:hAnsi="Tahoma" w:cs="Tahoma"/>
          <w:b/>
        </w:rPr>
        <w:lastRenderedPageBreak/>
        <w:t>Obveze (Šifra 2)</w:t>
      </w:r>
    </w:p>
    <w:p w:rsidR="007A292F" w:rsidRPr="006F51B2" w:rsidRDefault="007A292F" w:rsidP="00201F46">
      <w:pPr>
        <w:pStyle w:val="NoSpacing"/>
        <w:jc w:val="both"/>
        <w:rPr>
          <w:rFonts w:ascii="Tahoma" w:hAnsi="Tahoma" w:cs="Tahoma"/>
          <w:b/>
        </w:rPr>
      </w:pPr>
    </w:p>
    <w:p w:rsidR="007A292F" w:rsidRPr="009A23D3" w:rsidRDefault="007A292F" w:rsidP="009A23D3">
      <w:pPr>
        <w:pStyle w:val="NoSpacing"/>
        <w:jc w:val="both"/>
        <w:rPr>
          <w:rFonts w:ascii="Tahoma" w:hAnsi="Tahoma" w:cs="Tahoma"/>
          <w:color w:val="0D0D0D" w:themeColor="text1" w:themeTint="F2"/>
        </w:rPr>
      </w:pPr>
      <w:r w:rsidRPr="009A23D3">
        <w:rPr>
          <w:rFonts w:ascii="Tahoma" w:hAnsi="Tahoma" w:cs="Tahoma"/>
          <w:color w:val="0D0D0D" w:themeColor="text1" w:themeTint="F2"/>
        </w:rPr>
        <w:t>U odnosu na 31.12.2023. godine ukupn</w:t>
      </w:r>
      <w:r w:rsidR="00F53825" w:rsidRPr="009A23D3">
        <w:rPr>
          <w:rFonts w:ascii="Tahoma" w:hAnsi="Tahoma" w:cs="Tahoma"/>
          <w:color w:val="0D0D0D" w:themeColor="text1" w:themeTint="F2"/>
        </w:rPr>
        <w:t>e obveze su se povećale za 19,1</w:t>
      </w:r>
      <w:r w:rsidRPr="009A23D3">
        <w:rPr>
          <w:rFonts w:ascii="Tahoma" w:hAnsi="Tahoma" w:cs="Tahoma"/>
          <w:color w:val="0D0D0D" w:themeColor="text1" w:themeTint="F2"/>
        </w:rPr>
        <w:t>% i na dan 31.12.2024. iznose 286.235.433 E</w:t>
      </w:r>
      <w:r w:rsidR="002668C2" w:rsidRPr="009A23D3">
        <w:rPr>
          <w:rFonts w:ascii="Tahoma" w:hAnsi="Tahoma" w:cs="Tahoma"/>
          <w:color w:val="0D0D0D" w:themeColor="text1" w:themeTint="F2"/>
        </w:rPr>
        <w:t>UR. Struktura obveza dana je sl</w:t>
      </w:r>
      <w:r w:rsidRPr="009A23D3">
        <w:rPr>
          <w:rFonts w:ascii="Tahoma" w:hAnsi="Tahoma" w:cs="Tahoma"/>
          <w:color w:val="0D0D0D" w:themeColor="text1" w:themeTint="F2"/>
        </w:rPr>
        <w:t>jedećim prikazom:</w:t>
      </w:r>
    </w:p>
    <w:p w:rsidR="007A292F" w:rsidRPr="00981DAF" w:rsidRDefault="007A292F" w:rsidP="007A292F">
      <w:pPr>
        <w:pStyle w:val="NoSpacing"/>
        <w:spacing w:line="276" w:lineRule="auto"/>
        <w:jc w:val="both"/>
        <w:rPr>
          <w:rFonts w:ascii="Tahoma" w:hAnsi="Tahoma" w:cs="Tahoma"/>
        </w:rPr>
      </w:pPr>
    </w:p>
    <w:p w:rsidR="007A292F" w:rsidRPr="00981DAF" w:rsidRDefault="007A292F" w:rsidP="007A292F">
      <w:pPr>
        <w:pStyle w:val="NoSpacing"/>
        <w:spacing w:line="276" w:lineRule="auto"/>
        <w:jc w:val="both"/>
        <w:rPr>
          <w:rFonts w:ascii="Tahoma" w:hAnsi="Tahoma" w:cs="Tahoma"/>
        </w:rPr>
      </w:pPr>
    </w:p>
    <w:tbl>
      <w:tblPr>
        <w:tblW w:w="8788" w:type="dxa"/>
        <w:tblInd w:w="274" w:type="dxa"/>
        <w:tblLook w:val="04A0" w:firstRow="1" w:lastRow="0" w:firstColumn="1" w:lastColumn="0" w:noHBand="0" w:noVBand="1"/>
      </w:tblPr>
      <w:tblGrid>
        <w:gridCol w:w="3827"/>
        <w:gridCol w:w="2009"/>
        <w:gridCol w:w="1900"/>
        <w:gridCol w:w="1052"/>
      </w:tblGrid>
      <w:tr w:rsidR="007A292F" w:rsidRPr="00981DAF" w:rsidTr="007A1C80">
        <w:trPr>
          <w:trHeight w:val="6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292F" w:rsidRPr="00FF2CF7" w:rsidRDefault="007A292F" w:rsidP="007A1C80">
            <w:pPr>
              <w:spacing w:line="276" w:lineRule="auto"/>
              <w:jc w:val="center"/>
              <w:rPr>
                <w:rFonts w:ascii="Tahoma" w:hAnsi="Tahoma" w:cs="Tahoma"/>
                <w:b/>
                <w:color w:val="000000"/>
                <w:sz w:val="22"/>
                <w:szCs w:val="22"/>
                <w:lang w:eastAsia="hr-HR"/>
              </w:rPr>
            </w:pPr>
            <w:r w:rsidRPr="00FF2CF7">
              <w:rPr>
                <w:rFonts w:ascii="Tahoma" w:hAnsi="Tahoma" w:cs="Tahoma"/>
                <w:b/>
                <w:color w:val="000000"/>
                <w:sz w:val="22"/>
                <w:szCs w:val="22"/>
              </w:rPr>
              <w:t>Naziv pozicije</w:t>
            </w:r>
          </w:p>
        </w:tc>
        <w:tc>
          <w:tcPr>
            <w:tcW w:w="2009" w:type="dxa"/>
            <w:tcBorders>
              <w:top w:val="single" w:sz="8" w:space="0" w:color="auto"/>
              <w:left w:val="nil"/>
              <w:bottom w:val="single" w:sz="8" w:space="0" w:color="auto"/>
              <w:right w:val="single" w:sz="8" w:space="0" w:color="auto"/>
            </w:tcBorders>
            <w:shd w:val="clear" w:color="auto" w:fill="auto"/>
            <w:vAlign w:val="bottom"/>
            <w:hideMark/>
          </w:tcPr>
          <w:p w:rsidR="007A292F" w:rsidRPr="00FF2CF7" w:rsidRDefault="007A292F" w:rsidP="007A1C80">
            <w:pPr>
              <w:spacing w:line="276" w:lineRule="auto"/>
              <w:jc w:val="center"/>
              <w:rPr>
                <w:rFonts w:ascii="Tahoma" w:hAnsi="Tahoma" w:cs="Tahoma"/>
                <w:b/>
                <w:color w:val="000000"/>
                <w:sz w:val="22"/>
                <w:szCs w:val="22"/>
              </w:rPr>
            </w:pPr>
            <w:r w:rsidRPr="00FF2CF7">
              <w:rPr>
                <w:rFonts w:ascii="Tahoma" w:hAnsi="Tahoma" w:cs="Tahoma"/>
                <w:b/>
                <w:color w:val="000000"/>
                <w:sz w:val="22"/>
                <w:szCs w:val="22"/>
              </w:rPr>
              <w:t>Stanje 31.12.2023.</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rsidR="007A292F" w:rsidRPr="00FF2CF7" w:rsidRDefault="007A292F" w:rsidP="007A1C80">
            <w:pPr>
              <w:spacing w:line="276" w:lineRule="auto"/>
              <w:jc w:val="center"/>
              <w:rPr>
                <w:rFonts w:ascii="Tahoma" w:hAnsi="Tahoma" w:cs="Tahoma"/>
                <w:b/>
                <w:color w:val="000000"/>
                <w:sz w:val="22"/>
                <w:szCs w:val="22"/>
              </w:rPr>
            </w:pPr>
            <w:r w:rsidRPr="00FF2CF7">
              <w:rPr>
                <w:rFonts w:ascii="Tahoma" w:hAnsi="Tahoma" w:cs="Tahoma"/>
                <w:b/>
                <w:color w:val="000000"/>
                <w:sz w:val="22"/>
                <w:szCs w:val="22"/>
              </w:rPr>
              <w:t>Stanje 31.12.2024.</w:t>
            </w:r>
          </w:p>
        </w:tc>
        <w:tc>
          <w:tcPr>
            <w:tcW w:w="1052" w:type="dxa"/>
            <w:tcBorders>
              <w:top w:val="single" w:sz="8" w:space="0" w:color="auto"/>
              <w:left w:val="nil"/>
              <w:bottom w:val="single" w:sz="8" w:space="0" w:color="auto"/>
              <w:right w:val="single" w:sz="8" w:space="0" w:color="auto"/>
            </w:tcBorders>
            <w:shd w:val="clear" w:color="auto" w:fill="auto"/>
            <w:noWrap/>
            <w:vAlign w:val="bottom"/>
            <w:hideMark/>
          </w:tcPr>
          <w:p w:rsidR="007A292F" w:rsidRPr="00FF2CF7" w:rsidRDefault="007A292F" w:rsidP="007A1C80">
            <w:pPr>
              <w:spacing w:line="276" w:lineRule="auto"/>
              <w:jc w:val="center"/>
              <w:rPr>
                <w:rFonts w:ascii="Tahoma" w:hAnsi="Tahoma" w:cs="Tahoma"/>
                <w:b/>
                <w:color w:val="000000"/>
                <w:sz w:val="22"/>
                <w:szCs w:val="22"/>
              </w:rPr>
            </w:pPr>
            <w:r w:rsidRPr="00FF2CF7">
              <w:rPr>
                <w:rFonts w:ascii="Tahoma" w:hAnsi="Tahoma" w:cs="Tahoma"/>
                <w:b/>
                <w:color w:val="000000"/>
                <w:sz w:val="22"/>
                <w:szCs w:val="22"/>
              </w:rPr>
              <w:t>Indeks</w:t>
            </w:r>
          </w:p>
        </w:tc>
      </w:tr>
      <w:tr w:rsidR="007A292F" w:rsidRPr="00981DAF" w:rsidTr="007A1C80">
        <w:trPr>
          <w:trHeight w:val="530"/>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7A292F" w:rsidRPr="009A2136" w:rsidRDefault="007A292F" w:rsidP="007A1C80">
            <w:pPr>
              <w:spacing w:line="276" w:lineRule="auto"/>
              <w:jc w:val="both"/>
              <w:rPr>
                <w:rFonts w:ascii="Tahoma" w:hAnsi="Tahoma" w:cs="Tahoma"/>
                <w:color w:val="000000"/>
                <w:sz w:val="22"/>
                <w:szCs w:val="22"/>
              </w:rPr>
            </w:pPr>
            <w:r w:rsidRPr="009A2136">
              <w:rPr>
                <w:rFonts w:ascii="Tahoma" w:hAnsi="Tahoma" w:cs="Tahoma"/>
                <w:color w:val="000000"/>
                <w:sz w:val="22"/>
                <w:szCs w:val="22"/>
              </w:rPr>
              <w:t xml:space="preserve">Obveze za rashode poslovanja </w:t>
            </w:r>
          </w:p>
        </w:tc>
        <w:tc>
          <w:tcPr>
            <w:tcW w:w="2009" w:type="dxa"/>
            <w:tcBorders>
              <w:top w:val="nil"/>
              <w:left w:val="nil"/>
              <w:bottom w:val="single" w:sz="8" w:space="0" w:color="auto"/>
              <w:right w:val="single" w:sz="8" w:space="0" w:color="auto"/>
            </w:tcBorders>
            <w:shd w:val="clear" w:color="auto" w:fill="auto"/>
            <w:noWrap/>
            <w:vAlign w:val="center"/>
            <w:hideMark/>
          </w:tcPr>
          <w:p w:rsidR="007A292F" w:rsidRPr="009A2136" w:rsidRDefault="007A292F" w:rsidP="007A1C80">
            <w:pPr>
              <w:spacing w:line="276" w:lineRule="auto"/>
              <w:jc w:val="center"/>
              <w:rPr>
                <w:rFonts w:ascii="Tahoma" w:hAnsi="Tahoma" w:cs="Tahoma"/>
                <w:color w:val="000000"/>
                <w:sz w:val="22"/>
                <w:szCs w:val="22"/>
              </w:rPr>
            </w:pPr>
            <w:r>
              <w:rPr>
                <w:rFonts w:ascii="Tahoma" w:hAnsi="Tahoma" w:cs="Tahoma"/>
                <w:color w:val="000000"/>
                <w:sz w:val="22"/>
                <w:szCs w:val="22"/>
              </w:rPr>
              <w:t>217.975.108</w:t>
            </w:r>
          </w:p>
        </w:tc>
        <w:tc>
          <w:tcPr>
            <w:tcW w:w="1900"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color w:val="000000"/>
                <w:sz w:val="22"/>
                <w:szCs w:val="22"/>
              </w:rPr>
            </w:pPr>
            <w:r>
              <w:rPr>
                <w:rFonts w:ascii="Tahoma" w:hAnsi="Tahoma" w:cs="Tahoma"/>
                <w:color w:val="000000"/>
                <w:sz w:val="22"/>
                <w:szCs w:val="22"/>
              </w:rPr>
              <w:t>266.886.085</w:t>
            </w:r>
          </w:p>
        </w:tc>
        <w:tc>
          <w:tcPr>
            <w:tcW w:w="1052"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right"/>
              <w:rPr>
                <w:rFonts w:ascii="Tahoma" w:hAnsi="Tahoma" w:cs="Tahoma"/>
                <w:color w:val="000000"/>
                <w:sz w:val="22"/>
                <w:szCs w:val="22"/>
              </w:rPr>
            </w:pPr>
            <w:r>
              <w:rPr>
                <w:rFonts w:ascii="Tahoma" w:hAnsi="Tahoma" w:cs="Tahoma"/>
                <w:color w:val="000000"/>
                <w:sz w:val="22"/>
                <w:szCs w:val="22"/>
              </w:rPr>
              <w:t>1,22</w:t>
            </w:r>
          </w:p>
        </w:tc>
      </w:tr>
      <w:tr w:rsidR="007A292F" w:rsidRPr="00981DAF" w:rsidTr="007A1C80">
        <w:trPr>
          <w:trHeight w:val="482"/>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7A292F" w:rsidRPr="009A2136" w:rsidRDefault="007A292F" w:rsidP="007A1C80">
            <w:pPr>
              <w:spacing w:line="276" w:lineRule="auto"/>
              <w:jc w:val="both"/>
              <w:rPr>
                <w:rFonts w:ascii="Tahoma" w:hAnsi="Tahoma" w:cs="Tahoma"/>
                <w:color w:val="000000"/>
                <w:sz w:val="22"/>
                <w:szCs w:val="22"/>
              </w:rPr>
            </w:pPr>
            <w:r w:rsidRPr="009A2136">
              <w:rPr>
                <w:rFonts w:ascii="Tahoma" w:hAnsi="Tahoma" w:cs="Tahoma"/>
                <w:color w:val="000000"/>
                <w:sz w:val="22"/>
                <w:szCs w:val="22"/>
              </w:rPr>
              <w:t>Obveze za kredite i zajmove</w:t>
            </w:r>
          </w:p>
        </w:tc>
        <w:tc>
          <w:tcPr>
            <w:tcW w:w="2009"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color w:val="000000"/>
                <w:sz w:val="22"/>
                <w:szCs w:val="22"/>
              </w:rPr>
            </w:pPr>
            <w:r>
              <w:rPr>
                <w:rFonts w:ascii="Tahoma" w:hAnsi="Tahoma" w:cs="Tahoma"/>
                <w:color w:val="000000"/>
                <w:sz w:val="22"/>
                <w:szCs w:val="22"/>
              </w:rPr>
              <w:t>12.918.628</w:t>
            </w:r>
          </w:p>
        </w:tc>
        <w:tc>
          <w:tcPr>
            <w:tcW w:w="1900"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color w:val="000000"/>
                <w:sz w:val="22"/>
                <w:szCs w:val="22"/>
              </w:rPr>
            </w:pPr>
            <w:r>
              <w:rPr>
                <w:rFonts w:ascii="Tahoma" w:hAnsi="Tahoma" w:cs="Tahoma"/>
                <w:color w:val="000000"/>
                <w:sz w:val="22"/>
                <w:szCs w:val="22"/>
              </w:rPr>
              <w:t>10.874.732</w:t>
            </w:r>
          </w:p>
        </w:tc>
        <w:tc>
          <w:tcPr>
            <w:tcW w:w="1052"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right"/>
              <w:rPr>
                <w:rFonts w:ascii="Tahoma" w:hAnsi="Tahoma" w:cs="Tahoma"/>
                <w:color w:val="000000"/>
                <w:sz w:val="22"/>
                <w:szCs w:val="22"/>
              </w:rPr>
            </w:pPr>
            <w:r>
              <w:rPr>
                <w:rFonts w:ascii="Tahoma" w:hAnsi="Tahoma" w:cs="Tahoma"/>
                <w:color w:val="000000"/>
                <w:sz w:val="22"/>
                <w:szCs w:val="22"/>
              </w:rPr>
              <w:t>0,84</w:t>
            </w:r>
          </w:p>
        </w:tc>
      </w:tr>
      <w:tr w:rsidR="007A292F" w:rsidRPr="00981DAF" w:rsidTr="007A1C80">
        <w:trPr>
          <w:trHeight w:val="600"/>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7A292F" w:rsidRPr="009A2136" w:rsidRDefault="007A292F" w:rsidP="007A1C80">
            <w:pPr>
              <w:spacing w:line="276" w:lineRule="auto"/>
              <w:jc w:val="both"/>
              <w:rPr>
                <w:rFonts w:ascii="Tahoma" w:hAnsi="Tahoma" w:cs="Tahoma"/>
                <w:color w:val="000000"/>
                <w:sz w:val="22"/>
                <w:szCs w:val="22"/>
              </w:rPr>
            </w:pPr>
            <w:r w:rsidRPr="009A2136">
              <w:rPr>
                <w:rFonts w:ascii="Tahoma" w:hAnsi="Tahoma" w:cs="Tahoma"/>
                <w:color w:val="000000"/>
                <w:sz w:val="22"/>
                <w:szCs w:val="22"/>
              </w:rPr>
              <w:t>Obveze za nabavu nefinancijske imovine</w:t>
            </w:r>
          </w:p>
        </w:tc>
        <w:tc>
          <w:tcPr>
            <w:tcW w:w="2009"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color w:val="000000"/>
                <w:sz w:val="22"/>
                <w:szCs w:val="22"/>
              </w:rPr>
            </w:pPr>
            <w:r>
              <w:rPr>
                <w:rFonts w:ascii="Tahoma" w:hAnsi="Tahoma" w:cs="Tahoma"/>
                <w:color w:val="000000"/>
                <w:sz w:val="22"/>
                <w:szCs w:val="22"/>
              </w:rPr>
              <w:t>9.385.959</w:t>
            </w:r>
          </w:p>
        </w:tc>
        <w:tc>
          <w:tcPr>
            <w:tcW w:w="1900"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color w:val="000000"/>
                <w:sz w:val="22"/>
                <w:szCs w:val="22"/>
              </w:rPr>
            </w:pPr>
            <w:r>
              <w:rPr>
                <w:rFonts w:ascii="Tahoma" w:hAnsi="Tahoma" w:cs="Tahoma"/>
                <w:color w:val="000000"/>
                <w:sz w:val="22"/>
                <w:szCs w:val="22"/>
              </w:rPr>
              <w:t>8.474.616</w:t>
            </w:r>
          </w:p>
        </w:tc>
        <w:tc>
          <w:tcPr>
            <w:tcW w:w="1052"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right"/>
              <w:rPr>
                <w:rFonts w:ascii="Tahoma" w:hAnsi="Tahoma" w:cs="Tahoma"/>
                <w:color w:val="000000"/>
                <w:sz w:val="22"/>
                <w:szCs w:val="22"/>
              </w:rPr>
            </w:pPr>
            <w:r>
              <w:rPr>
                <w:rFonts w:ascii="Tahoma" w:hAnsi="Tahoma" w:cs="Tahoma"/>
                <w:color w:val="000000"/>
                <w:sz w:val="22"/>
                <w:szCs w:val="22"/>
              </w:rPr>
              <w:t>0,90</w:t>
            </w:r>
          </w:p>
        </w:tc>
      </w:tr>
      <w:tr w:rsidR="007A292F" w:rsidRPr="00981DAF" w:rsidTr="007A1C80">
        <w:trPr>
          <w:trHeight w:val="600"/>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7A292F" w:rsidRPr="009A2136" w:rsidRDefault="007A292F" w:rsidP="007A1C80">
            <w:pPr>
              <w:spacing w:line="276" w:lineRule="auto"/>
              <w:jc w:val="both"/>
              <w:rPr>
                <w:rFonts w:ascii="Tahoma" w:hAnsi="Tahoma" w:cs="Tahoma"/>
                <w:color w:val="000000"/>
                <w:sz w:val="22"/>
                <w:szCs w:val="22"/>
              </w:rPr>
            </w:pPr>
            <w:r w:rsidRPr="009A2136">
              <w:rPr>
                <w:rFonts w:ascii="Tahoma" w:hAnsi="Tahoma" w:cs="Tahoma"/>
                <w:color w:val="000000"/>
                <w:sz w:val="22"/>
                <w:szCs w:val="22"/>
              </w:rPr>
              <w:t xml:space="preserve">Odgođeno plaćanje rashoda i prihodi budućih razdoblja </w:t>
            </w:r>
          </w:p>
        </w:tc>
        <w:tc>
          <w:tcPr>
            <w:tcW w:w="2009"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color w:val="000000"/>
                <w:sz w:val="22"/>
                <w:szCs w:val="22"/>
              </w:rPr>
            </w:pPr>
            <w:r>
              <w:rPr>
                <w:rFonts w:ascii="Tahoma" w:hAnsi="Tahoma" w:cs="Tahoma"/>
                <w:color w:val="000000"/>
                <w:sz w:val="22"/>
                <w:szCs w:val="22"/>
              </w:rPr>
              <w:t>985.301</w:t>
            </w:r>
          </w:p>
        </w:tc>
        <w:tc>
          <w:tcPr>
            <w:tcW w:w="1900"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color w:val="000000"/>
                <w:sz w:val="22"/>
                <w:szCs w:val="22"/>
              </w:rPr>
            </w:pPr>
            <w:r>
              <w:rPr>
                <w:rFonts w:ascii="Tahoma" w:hAnsi="Tahoma" w:cs="Tahoma"/>
                <w:color w:val="000000"/>
                <w:sz w:val="22"/>
                <w:szCs w:val="22"/>
              </w:rPr>
              <w:t>583.341</w:t>
            </w:r>
          </w:p>
        </w:tc>
        <w:tc>
          <w:tcPr>
            <w:tcW w:w="1052"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right"/>
              <w:rPr>
                <w:rFonts w:ascii="Tahoma" w:hAnsi="Tahoma" w:cs="Tahoma"/>
                <w:color w:val="000000"/>
                <w:sz w:val="22"/>
                <w:szCs w:val="22"/>
              </w:rPr>
            </w:pPr>
            <w:r>
              <w:rPr>
                <w:rFonts w:ascii="Tahoma" w:hAnsi="Tahoma" w:cs="Tahoma"/>
                <w:color w:val="000000"/>
                <w:sz w:val="22"/>
                <w:szCs w:val="22"/>
              </w:rPr>
              <w:t>0,59</w:t>
            </w:r>
          </w:p>
        </w:tc>
      </w:tr>
      <w:tr w:rsidR="007A292F" w:rsidRPr="00981DAF" w:rsidTr="007A1C80">
        <w:trPr>
          <w:trHeight w:val="465"/>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7A292F" w:rsidRPr="009A2136" w:rsidRDefault="007A292F" w:rsidP="007A1C80">
            <w:pPr>
              <w:spacing w:line="276" w:lineRule="auto"/>
              <w:jc w:val="both"/>
              <w:rPr>
                <w:rFonts w:ascii="Tahoma" w:hAnsi="Tahoma" w:cs="Tahoma"/>
                <w:b/>
                <w:bCs/>
                <w:color w:val="000000"/>
                <w:sz w:val="22"/>
                <w:szCs w:val="22"/>
              </w:rPr>
            </w:pPr>
            <w:r w:rsidRPr="009A2136">
              <w:rPr>
                <w:rFonts w:ascii="Tahoma" w:hAnsi="Tahoma" w:cs="Tahoma"/>
                <w:b/>
                <w:bCs/>
                <w:color w:val="000000"/>
                <w:sz w:val="22"/>
                <w:szCs w:val="22"/>
              </w:rPr>
              <w:t>Sveukupno</w:t>
            </w:r>
          </w:p>
        </w:tc>
        <w:tc>
          <w:tcPr>
            <w:tcW w:w="2009"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b/>
                <w:bCs/>
                <w:color w:val="000000"/>
                <w:sz w:val="22"/>
                <w:szCs w:val="22"/>
              </w:rPr>
            </w:pPr>
            <w:r>
              <w:rPr>
                <w:rFonts w:ascii="Tahoma" w:hAnsi="Tahoma" w:cs="Tahoma"/>
                <w:b/>
                <w:bCs/>
                <w:color w:val="000000"/>
                <w:sz w:val="22"/>
                <w:szCs w:val="22"/>
              </w:rPr>
              <w:t>241.264.996</w:t>
            </w:r>
          </w:p>
        </w:tc>
        <w:tc>
          <w:tcPr>
            <w:tcW w:w="1900"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b/>
                <w:bCs/>
                <w:color w:val="000000"/>
                <w:sz w:val="22"/>
                <w:szCs w:val="22"/>
              </w:rPr>
            </w:pPr>
            <w:r>
              <w:rPr>
                <w:rFonts w:ascii="Tahoma" w:hAnsi="Tahoma" w:cs="Tahoma"/>
                <w:b/>
                <w:bCs/>
                <w:color w:val="000000"/>
                <w:sz w:val="22"/>
                <w:szCs w:val="22"/>
              </w:rPr>
              <w:t>286.818.774</w:t>
            </w:r>
          </w:p>
        </w:tc>
        <w:tc>
          <w:tcPr>
            <w:tcW w:w="1052" w:type="dxa"/>
            <w:tcBorders>
              <w:top w:val="nil"/>
              <w:left w:val="nil"/>
              <w:bottom w:val="single" w:sz="8" w:space="0" w:color="auto"/>
              <w:right w:val="single" w:sz="8" w:space="0" w:color="auto"/>
            </w:tcBorders>
            <w:shd w:val="clear" w:color="auto" w:fill="auto"/>
            <w:noWrap/>
            <w:vAlign w:val="center"/>
          </w:tcPr>
          <w:p w:rsidR="007A292F" w:rsidRPr="009A2136" w:rsidRDefault="007A292F" w:rsidP="00294BAC">
            <w:pPr>
              <w:spacing w:line="276" w:lineRule="auto"/>
              <w:jc w:val="right"/>
              <w:rPr>
                <w:rFonts w:ascii="Tahoma" w:hAnsi="Tahoma" w:cs="Tahoma"/>
                <w:color w:val="000000"/>
                <w:sz w:val="22"/>
                <w:szCs w:val="22"/>
              </w:rPr>
            </w:pPr>
            <w:r>
              <w:rPr>
                <w:rFonts w:ascii="Tahoma" w:hAnsi="Tahoma" w:cs="Tahoma"/>
                <w:color w:val="000000"/>
                <w:sz w:val="22"/>
                <w:szCs w:val="22"/>
              </w:rPr>
              <w:t>1,</w:t>
            </w:r>
            <w:r w:rsidR="00294BAC">
              <w:rPr>
                <w:rFonts w:ascii="Tahoma" w:hAnsi="Tahoma" w:cs="Tahoma"/>
                <w:color w:val="000000"/>
                <w:sz w:val="22"/>
                <w:szCs w:val="22"/>
              </w:rPr>
              <w:t>19</w:t>
            </w:r>
          </w:p>
        </w:tc>
      </w:tr>
      <w:tr w:rsidR="007A292F" w:rsidRPr="00981DAF" w:rsidTr="007A1C80">
        <w:trPr>
          <w:trHeight w:val="600"/>
        </w:trPr>
        <w:tc>
          <w:tcPr>
            <w:tcW w:w="3827" w:type="dxa"/>
            <w:tcBorders>
              <w:top w:val="nil"/>
              <w:left w:val="single" w:sz="8" w:space="0" w:color="auto"/>
              <w:bottom w:val="single" w:sz="8" w:space="0" w:color="auto"/>
              <w:right w:val="single" w:sz="8" w:space="0" w:color="auto"/>
            </w:tcBorders>
            <w:shd w:val="clear" w:color="auto" w:fill="auto"/>
            <w:vAlign w:val="center"/>
            <w:hideMark/>
          </w:tcPr>
          <w:p w:rsidR="007A292F" w:rsidRPr="009A2136" w:rsidRDefault="007A292F" w:rsidP="007A1C80">
            <w:pPr>
              <w:spacing w:line="276" w:lineRule="auto"/>
              <w:jc w:val="both"/>
              <w:rPr>
                <w:rFonts w:ascii="Tahoma" w:hAnsi="Tahoma" w:cs="Tahoma"/>
                <w:color w:val="000000"/>
                <w:sz w:val="22"/>
                <w:szCs w:val="22"/>
              </w:rPr>
            </w:pPr>
            <w:r w:rsidRPr="009A2136">
              <w:rPr>
                <w:rFonts w:ascii="Tahoma" w:hAnsi="Tahoma" w:cs="Tahoma"/>
                <w:color w:val="000000"/>
                <w:sz w:val="22"/>
                <w:szCs w:val="22"/>
              </w:rPr>
              <w:t>Obveze bez odgođenog plaćanja rashoda i prihoda budućih razdoblja</w:t>
            </w:r>
          </w:p>
        </w:tc>
        <w:tc>
          <w:tcPr>
            <w:tcW w:w="2009"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color w:val="000000"/>
                <w:sz w:val="22"/>
                <w:szCs w:val="22"/>
              </w:rPr>
            </w:pPr>
            <w:r>
              <w:rPr>
                <w:rFonts w:ascii="Tahoma" w:hAnsi="Tahoma" w:cs="Tahoma"/>
                <w:color w:val="000000"/>
                <w:sz w:val="22"/>
                <w:szCs w:val="22"/>
              </w:rPr>
              <w:t>240.279.695</w:t>
            </w:r>
          </w:p>
        </w:tc>
        <w:tc>
          <w:tcPr>
            <w:tcW w:w="1900"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center"/>
              <w:rPr>
                <w:rFonts w:ascii="Tahoma" w:hAnsi="Tahoma" w:cs="Tahoma"/>
                <w:color w:val="000000"/>
                <w:sz w:val="22"/>
                <w:szCs w:val="22"/>
              </w:rPr>
            </w:pPr>
            <w:r w:rsidRPr="00FF2CF7">
              <w:rPr>
                <w:rFonts w:ascii="Tahoma" w:hAnsi="Tahoma" w:cs="Tahoma"/>
                <w:color w:val="000000"/>
                <w:sz w:val="22"/>
                <w:szCs w:val="22"/>
              </w:rPr>
              <w:t>286.235.43</w:t>
            </w:r>
            <w:r>
              <w:rPr>
                <w:rFonts w:ascii="Tahoma" w:hAnsi="Tahoma" w:cs="Tahoma"/>
                <w:color w:val="000000"/>
                <w:sz w:val="22"/>
                <w:szCs w:val="22"/>
              </w:rPr>
              <w:t>3</w:t>
            </w:r>
          </w:p>
        </w:tc>
        <w:tc>
          <w:tcPr>
            <w:tcW w:w="1052" w:type="dxa"/>
            <w:tcBorders>
              <w:top w:val="nil"/>
              <w:left w:val="nil"/>
              <w:bottom w:val="single" w:sz="8" w:space="0" w:color="auto"/>
              <w:right w:val="single" w:sz="8" w:space="0" w:color="auto"/>
            </w:tcBorders>
            <w:shd w:val="clear" w:color="auto" w:fill="auto"/>
            <w:noWrap/>
            <w:vAlign w:val="center"/>
          </w:tcPr>
          <w:p w:rsidR="007A292F" w:rsidRPr="009A2136" w:rsidRDefault="007A292F" w:rsidP="007A1C80">
            <w:pPr>
              <w:spacing w:line="276" w:lineRule="auto"/>
              <w:jc w:val="right"/>
              <w:rPr>
                <w:rFonts w:ascii="Tahoma" w:hAnsi="Tahoma" w:cs="Tahoma"/>
                <w:color w:val="000000"/>
                <w:sz w:val="22"/>
                <w:szCs w:val="22"/>
              </w:rPr>
            </w:pPr>
            <w:r>
              <w:rPr>
                <w:rFonts w:ascii="Tahoma" w:hAnsi="Tahoma" w:cs="Tahoma"/>
                <w:color w:val="000000"/>
                <w:sz w:val="22"/>
                <w:szCs w:val="22"/>
              </w:rPr>
              <w:t>1,19</w:t>
            </w:r>
          </w:p>
        </w:tc>
      </w:tr>
    </w:tbl>
    <w:p w:rsidR="007A292F" w:rsidRPr="00981DAF" w:rsidRDefault="007A292F" w:rsidP="007A292F">
      <w:pPr>
        <w:pStyle w:val="NoSpacing"/>
        <w:spacing w:line="276" w:lineRule="auto"/>
        <w:jc w:val="both"/>
        <w:rPr>
          <w:rFonts w:ascii="Tahoma" w:hAnsi="Tahoma" w:cs="Tahoma"/>
        </w:rPr>
      </w:pPr>
    </w:p>
    <w:p w:rsidR="007A292F" w:rsidRDefault="007A292F" w:rsidP="007A292F">
      <w:pPr>
        <w:pStyle w:val="NoSpacing"/>
        <w:spacing w:line="276" w:lineRule="auto"/>
        <w:jc w:val="both"/>
        <w:rPr>
          <w:rFonts w:ascii="Tahoma" w:hAnsi="Tahoma" w:cs="Tahoma"/>
        </w:rPr>
      </w:pPr>
    </w:p>
    <w:p w:rsidR="007A292F" w:rsidRPr="00981DAF" w:rsidRDefault="007A292F" w:rsidP="00196DB0">
      <w:pPr>
        <w:pStyle w:val="NoSpacing"/>
        <w:jc w:val="both"/>
        <w:rPr>
          <w:rFonts w:ascii="Tahoma" w:hAnsi="Tahoma" w:cs="Tahoma"/>
        </w:rPr>
      </w:pPr>
      <w:r>
        <w:rPr>
          <w:rFonts w:ascii="Tahoma" w:hAnsi="Tahoma" w:cs="Tahoma"/>
        </w:rPr>
        <w:t>Od ukupno iskazanih 286.235.433</w:t>
      </w:r>
      <w:r w:rsidRPr="00981DAF">
        <w:rPr>
          <w:rFonts w:ascii="Tahoma" w:hAnsi="Tahoma" w:cs="Tahoma"/>
        </w:rPr>
        <w:t xml:space="preserve"> E</w:t>
      </w:r>
      <w:r>
        <w:rPr>
          <w:rFonts w:ascii="Tahoma" w:hAnsi="Tahoma" w:cs="Tahoma"/>
        </w:rPr>
        <w:t xml:space="preserve">UR obveza dospjelo je 115.317.131 EUR od čega je </w:t>
      </w:r>
      <w:r w:rsidRPr="0002161A">
        <w:rPr>
          <w:rFonts w:ascii="Tahoma" w:hAnsi="Tahoma" w:cs="Tahoma"/>
        </w:rPr>
        <w:t>110.706.607</w:t>
      </w:r>
      <w:r w:rsidRPr="00981DAF">
        <w:rPr>
          <w:rFonts w:ascii="Tahoma" w:hAnsi="Tahoma" w:cs="Tahoma"/>
        </w:rPr>
        <w:t xml:space="preserve"> EUR dospjelih obveza unutar godinu dana.</w:t>
      </w:r>
    </w:p>
    <w:p w:rsidR="007A292F" w:rsidRPr="00981DAF" w:rsidRDefault="007A292F" w:rsidP="007A292F">
      <w:pPr>
        <w:pStyle w:val="NoSpacing"/>
        <w:spacing w:line="276" w:lineRule="auto"/>
        <w:jc w:val="both"/>
        <w:rPr>
          <w:rFonts w:ascii="Tahoma" w:hAnsi="Tahoma" w:cs="Tahoma"/>
        </w:rPr>
      </w:pPr>
    </w:p>
    <w:p w:rsidR="007A292F" w:rsidRPr="00196DB0" w:rsidRDefault="00196DB0" w:rsidP="00196DB0">
      <w:pPr>
        <w:jc w:val="both"/>
        <w:rPr>
          <w:rFonts w:ascii="Tahoma" w:eastAsia="Calibri" w:hAnsi="Tahoma" w:cs="Tahoma"/>
          <w:sz w:val="22"/>
          <w:szCs w:val="22"/>
        </w:rPr>
      </w:pPr>
      <w:r>
        <w:rPr>
          <w:rFonts w:ascii="Tahoma" w:hAnsi="Tahoma" w:cs="Tahoma"/>
          <w:b/>
          <w:sz w:val="22"/>
          <w:u w:val="single"/>
        </w:rPr>
        <w:t xml:space="preserve">Obveze za rashode poslovanja </w:t>
      </w:r>
      <w:r w:rsidR="007A292F" w:rsidRPr="00196DB0">
        <w:rPr>
          <w:rFonts w:ascii="Tahoma" w:hAnsi="Tahoma" w:cs="Tahoma"/>
          <w:b/>
          <w:sz w:val="22"/>
          <w:u w:val="single"/>
        </w:rPr>
        <w:t>(Šifra 23</w:t>
      </w:r>
      <w:r w:rsidR="007A292F" w:rsidRPr="00196DB0">
        <w:rPr>
          <w:rFonts w:ascii="Tahoma" w:eastAsia="Calibri" w:hAnsi="Tahoma" w:cs="Tahoma"/>
          <w:sz w:val="22"/>
          <w:szCs w:val="22"/>
        </w:rPr>
        <w:t>) na dan 31. prosinca 2024. godine iskazane su u iznosu od</w:t>
      </w:r>
      <w:r w:rsidR="00F53825" w:rsidRPr="00196DB0">
        <w:rPr>
          <w:rFonts w:ascii="Tahoma" w:eastAsia="Calibri" w:hAnsi="Tahoma" w:cs="Tahoma"/>
          <w:sz w:val="22"/>
          <w:szCs w:val="22"/>
        </w:rPr>
        <w:t xml:space="preserve"> 266.886.084 EUR što je za 22,4</w:t>
      </w:r>
      <w:r w:rsidR="007A292F" w:rsidRPr="00196DB0">
        <w:rPr>
          <w:rFonts w:ascii="Tahoma" w:eastAsia="Calibri" w:hAnsi="Tahoma" w:cs="Tahoma"/>
          <w:sz w:val="22"/>
          <w:szCs w:val="22"/>
        </w:rPr>
        <w:t>% više u odnosu na isti datum 2023. godine.</w:t>
      </w:r>
    </w:p>
    <w:p w:rsidR="007A292F" w:rsidRPr="00981DAF" w:rsidRDefault="007A292F" w:rsidP="007A292F">
      <w:pPr>
        <w:pStyle w:val="NoSpacing"/>
        <w:spacing w:line="276" w:lineRule="auto"/>
        <w:jc w:val="both"/>
        <w:rPr>
          <w:rFonts w:ascii="Tahoma" w:hAnsi="Tahoma" w:cs="Tahoma"/>
        </w:rPr>
      </w:pPr>
    </w:p>
    <w:p w:rsidR="007A292F" w:rsidRPr="00196DB0" w:rsidRDefault="007A292F" w:rsidP="00196DB0">
      <w:pPr>
        <w:pStyle w:val="PlainText"/>
        <w:jc w:val="both"/>
        <w:rPr>
          <w:rFonts w:ascii="Tahoma" w:hAnsi="Tahoma" w:cs="Tahoma"/>
          <w:sz w:val="22"/>
          <w:szCs w:val="22"/>
        </w:rPr>
      </w:pPr>
      <w:r w:rsidRPr="00196DB0">
        <w:rPr>
          <w:rFonts w:ascii="Tahoma" w:hAnsi="Tahoma" w:cs="Tahoma"/>
          <w:sz w:val="22"/>
          <w:szCs w:val="22"/>
        </w:rPr>
        <w:t>Navedene obveze obuhvaćaju obveze za zaposlene, obveze za materijal i energiju, obveze za tekuće i investicijsko održavanje, zakupnine i režijske troškove, usluge drugih zdravstvenih ustanova, premije osiguranja, ostale usluge, obveze za financijske rashode, kao i ostale tekuće obveze.</w:t>
      </w:r>
    </w:p>
    <w:p w:rsidR="00F53825" w:rsidRDefault="00F53825" w:rsidP="007A292F">
      <w:pPr>
        <w:pStyle w:val="NoSpacing"/>
        <w:spacing w:line="276" w:lineRule="auto"/>
        <w:jc w:val="both"/>
        <w:rPr>
          <w:rFonts w:ascii="Tahoma" w:hAnsi="Tahoma" w:cs="Tahoma"/>
        </w:rPr>
      </w:pPr>
    </w:p>
    <w:p w:rsidR="00F53825" w:rsidRPr="00F53825" w:rsidRDefault="00F53825" w:rsidP="00F53825">
      <w:pPr>
        <w:jc w:val="both"/>
        <w:rPr>
          <w:rFonts w:ascii="Tahoma" w:hAnsi="Tahoma" w:cs="Tahoma"/>
          <w:sz w:val="22"/>
          <w:szCs w:val="22"/>
        </w:rPr>
      </w:pPr>
      <w:r w:rsidRPr="00F53825">
        <w:rPr>
          <w:rFonts w:ascii="Tahoma" w:hAnsi="Tahoma" w:cs="Tahoma"/>
          <w:b/>
          <w:sz w:val="22"/>
          <w:u w:val="single"/>
        </w:rPr>
        <w:t>Obveze za materijalne rashode (Šifra 232</w:t>
      </w:r>
      <w:r w:rsidRPr="00F53825">
        <w:rPr>
          <w:rFonts w:ascii="Tahoma" w:hAnsi="Tahoma" w:cs="Tahoma"/>
          <w:b/>
          <w:sz w:val="22"/>
        </w:rPr>
        <w:t xml:space="preserve">) </w:t>
      </w:r>
      <w:r w:rsidRPr="00F53825">
        <w:rPr>
          <w:rFonts w:ascii="Tahoma" w:hAnsi="Tahoma" w:cs="Tahoma"/>
          <w:sz w:val="22"/>
          <w:szCs w:val="22"/>
        </w:rPr>
        <w:t>na dan 31. prosinca 2024. godine iskazane su u iznosu od 173.293.812 EUR što je za 34,5% više u odnosu na isti datum 2023. godine.</w:t>
      </w:r>
    </w:p>
    <w:p w:rsidR="00F53825" w:rsidRPr="00F53825" w:rsidRDefault="00F53825" w:rsidP="00F53825">
      <w:pPr>
        <w:pStyle w:val="NoSpacing"/>
        <w:jc w:val="both"/>
        <w:rPr>
          <w:rFonts w:ascii="Tahoma" w:hAnsi="Tahoma" w:cs="Tahoma"/>
        </w:rPr>
      </w:pPr>
    </w:p>
    <w:p w:rsidR="00F53825" w:rsidRPr="00981DAF" w:rsidRDefault="00F53825" w:rsidP="00F53825">
      <w:pPr>
        <w:pStyle w:val="NoSpacing"/>
        <w:jc w:val="both"/>
        <w:rPr>
          <w:rFonts w:ascii="Tahoma" w:hAnsi="Tahoma" w:cs="Tahoma"/>
        </w:rPr>
      </w:pPr>
      <w:r w:rsidRPr="00F53825">
        <w:rPr>
          <w:rFonts w:ascii="Tahoma" w:hAnsi="Tahoma" w:cs="Tahoma"/>
        </w:rPr>
        <w:t>Od ukupno iskazanog iznosa na ovoj poziciji 170.610.220 EUR odnosi na obveze za lijekove i medicinski potrošni materijal.</w:t>
      </w:r>
    </w:p>
    <w:p w:rsidR="00F53825" w:rsidRPr="00981DAF" w:rsidRDefault="00F53825" w:rsidP="007A292F">
      <w:pPr>
        <w:pStyle w:val="NoSpacing"/>
        <w:spacing w:line="276" w:lineRule="auto"/>
        <w:jc w:val="both"/>
        <w:rPr>
          <w:rFonts w:ascii="Tahoma" w:hAnsi="Tahoma" w:cs="Tahoma"/>
        </w:rPr>
      </w:pPr>
    </w:p>
    <w:p w:rsidR="007A292F" w:rsidRPr="00981DAF" w:rsidRDefault="007A292F" w:rsidP="00196DB0">
      <w:pPr>
        <w:jc w:val="both"/>
        <w:rPr>
          <w:rFonts w:ascii="Tahoma" w:hAnsi="Tahoma" w:cs="Tahoma"/>
          <w:sz w:val="22"/>
          <w:szCs w:val="22"/>
        </w:rPr>
      </w:pPr>
      <w:r w:rsidRPr="00981DAF">
        <w:rPr>
          <w:rFonts w:ascii="Tahoma" w:hAnsi="Tahoma" w:cs="Tahoma"/>
          <w:b/>
          <w:color w:val="000000"/>
          <w:sz w:val="22"/>
          <w:szCs w:val="22"/>
          <w:u w:val="single"/>
          <w:lang w:eastAsia="hr-HR"/>
        </w:rPr>
        <w:t>Obveze za nabavu nefinancijske imovine (Šifra 24)</w:t>
      </w:r>
      <w:r w:rsidRPr="00981DAF">
        <w:rPr>
          <w:rFonts w:ascii="Tahoma" w:hAnsi="Tahoma" w:cs="Tahoma"/>
          <w:color w:val="000000"/>
          <w:sz w:val="22"/>
          <w:szCs w:val="22"/>
          <w:lang w:eastAsia="hr-HR"/>
        </w:rPr>
        <w:t xml:space="preserve"> </w:t>
      </w:r>
      <w:r>
        <w:rPr>
          <w:rFonts w:ascii="Tahoma" w:hAnsi="Tahoma" w:cs="Tahoma"/>
          <w:sz w:val="22"/>
          <w:szCs w:val="22"/>
        </w:rPr>
        <w:t>na dan 31. prosinca 2024</w:t>
      </w:r>
      <w:r w:rsidRPr="00981DAF">
        <w:rPr>
          <w:rFonts w:ascii="Tahoma" w:hAnsi="Tahoma" w:cs="Tahoma"/>
          <w:sz w:val="22"/>
          <w:szCs w:val="22"/>
        </w:rPr>
        <w:t>. godine i</w:t>
      </w:r>
      <w:r>
        <w:rPr>
          <w:rFonts w:ascii="Tahoma" w:hAnsi="Tahoma" w:cs="Tahoma"/>
          <w:sz w:val="22"/>
          <w:szCs w:val="22"/>
        </w:rPr>
        <w:t>skazane su u iznosu</w:t>
      </w:r>
      <w:r w:rsidR="00F53825">
        <w:rPr>
          <w:rFonts w:ascii="Tahoma" w:hAnsi="Tahoma" w:cs="Tahoma"/>
          <w:sz w:val="22"/>
          <w:szCs w:val="22"/>
        </w:rPr>
        <w:t xml:space="preserve"> od 8.474.616 EUR što je za 9,7</w:t>
      </w:r>
      <w:r>
        <w:rPr>
          <w:rFonts w:ascii="Tahoma" w:hAnsi="Tahoma" w:cs="Tahoma"/>
          <w:sz w:val="22"/>
          <w:szCs w:val="22"/>
        </w:rPr>
        <w:t>% manje</w:t>
      </w:r>
      <w:r w:rsidRPr="00981DAF">
        <w:rPr>
          <w:rFonts w:ascii="Tahoma" w:hAnsi="Tahoma" w:cs="Tahoma"/>
          <w:sz w:val="22"/>
          <w:szCs w:val="22"/>
        </w:rPr>
        <w:t xml:space="preserve"> u odnosu na isti datum 202</w:t>
      </w:r>
      <w:r>
        <w:rPr>
          <w:rFonts w:ascii="Tahoma" w:hAnsi="Tahoma" w:cs="Tahoma"/>
          <w:sz w:val="22"/>
          <w:szCs w:val="22"/>
        </w:rPr>
        <w:t>3</w:t>
      </w:r>
      <w:r w:rsidRPr="00981DAF">
        <w:rPr>
          <w:rFonts w:ascii="Tahoma" w:hAnsi="Tahoma" w:cs="Tahoma"/>
          <w:sz w:val="22"/>
          <w:szCs w:val="22"/>
        </w:rPr>
        <w:t>. godine.</w:t>
      </w:r>
    </w:p>
    <w:p w:rsidR="007A292F" w:rsidRPr="00981DAF" w:rsidRDefault="007A292F" w:rsidP="007A292F">
      <w:pPr>
        <w:spacing w:line="276" w:lineRule="auto"/>
        <w:jc w:val="both"/>
        <w:rPr>
          <w:rFonts w:ascii="Tahoma" w:hAnsi="Tahoma" w:cs="Tahoma"/>
          <w:color w:val="000000"/>
          <w:sz w:val="22"/>
          <w:szCs w:val="22"/>
          <w:lang w:eastAsia="hr-HR"/>
        </w:rPr>
      </w:pPr>
    </w:p>
    <w:p w:rsidR="007A292F" w:rsidRDefault="007A292F" w:rsidP="00196DB0">
      <w:pPr>
        <w:jc w:val="both"/>
        <w:rPr>
          <w:rFonts w:ascii="Tahoma" w:hAnsi="Tahoma" w:cs="Tahoma"/>
          <w:color w:val="000000"/>
          <w:sz w:val="22"/>
          <w:szCs w:val="22"/>
          <w:lang w:eastAsia="hr-HR"/>
        </w:rPr>
      </w:pPr>
      <w:r w:rsidRPr="00981DAF">
        <w:rPr>
          <w:rFonts w:ascii="Tahoma" w:hAnsi="Tahoma" w:cs="Tahoma"/>
          <w:color w:val="000000"/>
          <w:sz w:val="22"/>
          <w:szCs w:val="22"/>
          <w:lang w:eastAsia="hr-HR"/>
        </w:rPr>
        <w:t>Navedene obveze obuhvaćaju obveze za nabavu opreme, uređaja, instrumenata, dodatnih ulaganja na građe</w:t>
      </w:r>
      <w:r>
        <w:rPr>
          <w:rFonts w:ascii="Tahoma" w:hAnsi="Tahoma" w:cs="Tahoma"/>
          <w:color w:val="000000"/>
          <w:sz w:val="22"/>
          <w:szCs w:val="22"/>
          <w:lang w:eastAsia="hr-HR"/>
        </w:rPr>
        <w:t>vinskim objektima, obveze na ime</w:t>
      </w:r>
      <w:r w:rsidRPr="00981DAF">
        <w:rPr>
          <w:rFonts w:ascii="Tahoma" w:hAnsi="Tahoma" w:cs="Tahoma"/>
          <w:color w:val="000000"/>
          <w:sz w:val="22"/>
          <w:szCs w:val="22"/>
          <w:lang w:eastAsia="hr-HR"/>
        </w:rPr>
        <w:t xml:space="preserve"> komunalnog doprinosa temeljem nagodbe s Gradom Zagrebom </w:t>
      </w:r>
      <w:r w:rsidR="000A004F">
        <w:rPr>
          <w:rFonts w:ascii="Tahoma" w:hAnsi="Tahoma" w:cs="Tahoma"/>
          <w:color w:val="000000"/>
          <w:sz w:val="22"/>
          <w:szCs w:val="22"/>
          <w:lang w:eastAsia="hr-HR"/>
        </w:rPr>
        <w:t xml:space="preserve">i Zagrebačkim Holdingom </w:t>
      </w:r>
      <w:r w:rsidRPr="00981DAF">
        <w:rPr>
          <w:rFonts w:ascii="Tahoma" w:hAnsi="Tahoma" w:cs="Tahoma"/>
          <w:color w:val="000000"/>
          <w:sz w:val="22"/>
          <w:szCs w:val="22"/>
          <w:lang w:eastAsia="hr-HR"/>
        </w:rPr>
        <w:t xml:space="preserve">kao i obveze na ime predujmljenih ulaganja za HEP- </w:t>
      </w:r>
      <w:proofErr w:type="spellStart"/>
      <w:r w:rsidRPr="00981DAF">
        <w:rPr>
          <w:rFonts w:ascii="Tahoma" w:hAnsi="Tahoma" w:cs="Tahoma"/>
          <w:color w:val="000000"/>
          <w:sz w:val="22"/>
          <w:szCs w:val="22"/>
          <w:lang w:eastAsia="hr-HR"/>
        </w:rPr>
        <w:t>toplinarstv</w:t>
      </w:r>
      <w:r w:rsidR="000A004F">
        <w:rPr>
          <w:rFonts w:ascii="Tahoma" w:hAnsi="Tahoma" w:cs="Tahoma"/>
          <w:color w:val="000000"/>
          <w:sz w:val="22"/>
          <w:szCs w:val="22"/>
          <w:lang w:eastAsia="hr-HR"/>
        </w:rPr>
        <w:t>o</w:t>
      </w:r>
      <w:proofErr w:type="spellEnd"/>
      <w:r w:rsidR="000A004F">
        <w:rPr>
          <w:rFonts w:ascii="Tahoma" w:hAnsi="Tahoma" w:cs="Tahoma"/>
          <w:color w:val="000000"/>
          <w:sz w:val="22"/>
          <w:szCs w:val="22"/>
          <w:lang w:eastAsia="hr-HR"/>
        </w:rPr>
        <w:t xml:space="preserve"> d.o.o. </w:t>
      </w:r>
      <w:r w:rsidR="00F53825">
        <w:rPr>
          <w:rFonts w:ascii="Tahoma" w:hAnsi="Tahoma" w:cs="Tahoma"/>
          <w:color w:val="000000"/>
          <w:sz w:val="22"/>
          <w:szCs w:val="22"/>
          <w:lang w:eastAsia="hr-HR"/>
        </w:rPr>
        <w:t>za koja</w:t>
      </w:r>
      <w:r w:rsidRPr="00981DAF">
        <w:rPr>
          <w:rFonts w:ascii="Tahoma" w:hAnsi="Tahoma" w:cs="Tahoma"/>
          <w:color w:val="000000"/>
          <w:sz w:val="22"/>
          <w:szCs w:val="22"/>
          <w:lang w:eastAsia="hr-HR"/>
        </w:rPr>
        <w:t xml:space="preserve"> je u tijeku sudski postupak.</w:t>
      </w:r>
    </w:p>
    <w:p w:rsidR="000A004F" w:rsidRPr="00981DAF" w:rsidRDefault="000A004F" w:rsidP="00196DB0">
      <w:pPr>
        <w:jc w:val="both"/>
        <w:rPr>
          <w:rFonts w:ascii="Tahoma" w:hAnsi="Tahoma" w:cs="Tahoma"/>
          <w:color w:val="000000"/>
          <w:sz w:val="22"/>
          <w:szCs w:val="22"/>
          <w:lang w:eastAsia="hr-HR"/>
        </w:rPr>
      </w:pPr>
    </w:p>
    <w:p w:rsidR="007A292F" w:rsidRDefault="007A292F" w:rsidP="00196DB0">
      <w:pPr>
        <w:jc w:val="both"/>
        <w:rPr>
          <w:rFonts w:ascii="Tahoma" w:hAnsi="Tahoma" w:cs="Tahoma"/>
          <w:sz w:val="22"/>
          <w:szCs w:val="22"/>
        </w:rPr>
      </w:pPr>
      <w:r w:rsidRPr="00981DAF">
        <w:rPr>
          <w:rFonts w:ascii="Tahoma" w:hAnsi="Tahoma" w:cs="Tahoma"/>
          <w:b/>
          <w:sz w:val="22"/>
          <w:szCs w:val="22"/>
          <w:u w:val="single"/>
        </w:rPr>
        <w:t>Obveze za kredite i zajmove (Šifra 26)</w:t>
      </w:r>
      <w:r w:rsidRPr="00981DAF">
        <w:rPr>
          <w:rFonts w:ascii="Tahoma" w:hAnsi="Tahoma" w:cs="Tahoma"/>
          <w:b/>
          <w:sz w:val="22"/>
          <w:szCs w:val="22"/>
        </w:rPr>
        <w:t xml:space="preserve"> </w:t>
      </w:r>
      <w:r>
        <w:rPr>
          <w:rFonts w:ascii="Tahoma" w:hAnsi="Tahoma" w:cs="Tahoma"/>
          <w:sz w:val="22"/>
          <w:szCs w:val="22"/>
        </w:rPr>
        <w:t>na dan 31. prosinca 2024</w:t>
      </w:r>
      <w:r w:rsidRPr="00981DAF">
        <w:rPr>
          <w:rFonts w:ascii="Tahoma" w:hAnsi="Tahoma" w:cs="Tahoma"/>
          <w:sz w:val="22"/>
          <w:szCs w:val="22"/>
        </w:rPr>
        <w:t>. godine is</w:t>
      </w:r>
      <w:r>
        <w:rPr>
          <w:rFonts w:ascii="Tahoma" w:hAnsi="Tahoma" w:cs="Tahoma"/>
          <w:sz w:val="22"/>
          <w:szCs w:val="22"/>
        </w:rPr>
        <w:t>kazane su u iznosu od 10.874.732 EUR što je za</w:t>
      </w:r>
      <w:r w:rsidR="00E2125A">
        <w:rPr>
          <w:rFonts w:ascii="Tahoma" w:hAnsi="Tahoma" w:cs="Tahoma"/>
          <w:sz w:val="22"/>
          <w:szCs w:val="22"/>
        </w:rPr>
        <w:t xml:space="preserve"> 15,8</w:t>
      </w:r>
      <w:r w:rsidRPr="00981DAF">
        <w:rPr>
          <w:rFonts w:ascii="Tahoma" w:hAnsi="Tahoma" w:cs="Tahoma"/>
          <w:sz w:val="22"/>
          <w:szCs w:val="22"/>
        </w:rPr>
        <w:t>% manje u odnosu na isti datum 202</w:t>
      </w:r>
      <w:r>
        <w:rPr>
          <w:rFonts w:ascii="Tahoma" w:hAnsi="Tahoma" w:cs="Tahoma"/>
          <w:sz w:val="22"/>
          <w:szCs w:val="22"/>
        </w:rPr>
        <w:t>3</w:t>
      </w:r>
      <w:r w:rsidRPr="00981DAF">
        <w:rPr>
          <w:rFonts w:ascii="Tahoma" w:hAnsi="Tahoma" w:cs="Tahoma"/>
          <w:sz w:val="22"/>
          <w:szCs w:val="22"/>
        </w:rPr>
        <w:t>. godine.</w:t>
      </w:r>
    </w:p>
    <w:p w:rsidR="007A292F" w:rsidRDefault="007A292F" w:rsidP="007A292F">
      <w:pPr>
        <w:spacing w:line="276" w:lineRule="auto"/>
        <w:jc w:val="both"/>
        <w:rPr>
          <w:rFonts w:ascii="Tahoma" w:hAnsi="Tahoma" w:cs="Tahoma"/>
          <w:sz w:val="22"/>
          <w:szCs w:val="22"/>
        </w:rPr>
      </w:pPr>
    </w:p>
    <w:p w:rsidR="007A292F" w:rsidRPr="00434AFA" w:rsidRDefault="007A292F" w:rsidP="004E560D">
      <w:pPr>
        <w:jc w:val="both"/>
        <w:rPr>
          <w:rFonts w:ascii="Tahoma" w:hAnsi="Tahoma" w:cs="Tahoma"/>
          <w:color w:val="0D0D0D" w:themeColor="text1" w:themeTint="F2"/>
          <w:sz w:val="22"/>
          <w:szCs w:val="22"/>
        </w:rPr>
      </w:pPr>
      <w:r w:rsidRPr="00434AFA">
        <w:rPr>
          <w:rFonts w:ascii="Tahoma" w:hAnsi="Tahoma" w:cs="Tahoma"/>
          <w:color w:val="0D0D0D" w:themeColor="text1" w:themeTint="F2"/>
          <w:sz w:val="22"/>
          <w:szCs w:val="22"/>
        </w:rPr>
        <w:t>Obveze za kredite i zajm</w:t>
      </w:r>
      <w:r w:rsidR="00434AFA" w:rsidRPr="00434AFA">
        <w:rPr>
          <w:rFonts w:ascii="Tahoma" w:hAnsi="Tahoma" w:cs="Tahoma"/>
          <w:color w:val="0D0D0D" w:themeColor="text1" w:themeTint="F2"/>
          <w:sz w:val="22"/>
          <w:szCs w:val="22"/>
        </w:rPr>
        <w:t>ove se odnose na robne kredite za</w:t>
      </w:r>
      <w:r w:rsidRPr="00434AFA">
        <w:rPr>
          <w:rFonts w:ascii="Tahoma" w:hAnsi="Tahoma" w:cs="Tahoma"/>
          <w:color w:val="0D0D0D" w:themeColor="text1" w:themeTint="F2"/>
          <w:sz w:val="22"/>
          <w:szCs w:val="22"/>
        </w:rPr>
        <w:t xml:space="preserve"> nabavu </w:t>
      </w:r>
      <w:r w:rsidR="00434AFA" w:rsidRPr="00434AFA">
        <w:rPr>
          <w:rFonts w:ascii="Tahoma" w:hAnsi="Tahoma" w:cs="Tahoma"/>
          <w:color w:val="0D0D0D" w:themeColor="text1" w:themeTint="F2"/>
          <w:sz w:val="22"/>
          <w:szCs w:val="22"/>
        </w:rPr>
        <w:t>lijekova</w:t>
      </w:r>
      <w:r w:rsidR="00507359">
        <w:rPr>
          <w:rFonts w:ascii="Tahoma" w:hAnsi="Tahoma" w:cs="Tahoma"/>
          <w:color w:val="0D0D0D" w:themeColor="text1" w:themeTint="F2"/>
          <w:sz w:val="22"/>
          <w:szCs w:val="22"/>
        </w:rPr>
        <w:t xml:space="preserve"> (</w:t>
      </w:r>
      <w:proofErr w:type="spellStart"/>
      <w:r w:rsidR="00507359">
        <w:rPr>
          <w:rFonts w:ascii="Tahoma" w:hAnsi="Tahoma" w:cs="Tahoma"/>
          <w:color w:val="0D0D0D" w:themeColor="text1" w:themeTint="F2"/>
          <w:sz w:val="22"/>
          <w:szCs w:val="22"/>
        </w:rPr>
        <w:t>Zolgensma</w:t>
      </w:r>
      <w:proofErr w:type="spellEnd"/>
      <w:r w:rsidR="00507359">
        <w:rPr>
          <w:rFonts w:ascii="Tahoma" w:hAnsi="Tahoma" w:cs="Tahoma"/>
          <w:color w:val="0D0D0D" w:themeColor="text1" w:themeTint="F2"/>
          <w:sz w:val="22"/>
          <w:szCs w:val="22"/>
        </w:rPr>
        <w:t>)</w:t>
      </w:r>
      <w:r w:rsidR="00434AFA" w:rsidRPr="00434AFA">
        <w:rPr>
          <w:rFonts w:ascii="Tahoma" w:hAnsi="Tahoma" w:cs="Tahoma"/>
          <w:color w:val="0D0D0D" w:themeColor="text1" w:themeTint="F2"/>
          <w:sz w:val="22"/>
          <w:szCs w:val="22"/>
        </w:rPr>
        <w:t xml:space="preserve"> i </w:t>
      </w:r>
      <w:r w:rsidR="009D36EB">
        <w:rPr>
          <w:rFonts w:ascii="Tahoma" w:hAnsi="Tahoma" w:cs="Tahoma"/>
          <w:color w:val="0D0D0D" w:themeColor="text1" w:themeTint="F2"/>
          <w:sz w:val="22"/>
          <w:szCs w:val="22"/>
        </w:rPr>
        <w:t xml:space="preserve">medicinske </w:t>
      </w:r>
      <w:r w:rsidR="00507359">
        <w:rPr>
          <w:rFonts w:ascii="Tahoma" w:hAnsi="Tahoma" w:cs="Tahoma"/>
          <w:color w:val="0D0D0D" w:themeColor="text1" w:themeTint="F2"/>
          <w:sz w:val="22"/>
          <w:szCs w:val="22"/>
        </w:rPr>
        <w:t>opreme</w:t>
      </w:r>
      <w:r w:rsidR="009D36EB">
        <w:rPr>
          <w:rFonts w:ascii="Tahoma" w:hAnsi="Tahoma" w:cs="Tahoma"/>
          <w:color w:val="0D0D0D" w:themeColor="text1" w:themeTint="F2"/>
          <w:sz w:val="22"/>
          <w:szCs w:val="22"/>
        </w:rPr>
        <w:t>.</w:t>
      </w:r>
    </w:p>
    <w:p w:rsidR="007A292F" w:rsidRPr="00100D87" w:rsidRDefault="007A292F" w:rsidP="00196DB0">
      <w:pPr>
        <w:jc w:val="both"/>
        <w:rPr>
          <w:rFonts w:ascii="Tahoma" w:hAnsi="Tahoma" w:cs="Tahoma"/>
          <w:sz w:val="22"/>
          <w:szCs w:val="22"/>
        </w:rPr>
      </w:pPr>
      <w:r w:rsidRPr="00100D87">
        <w:rPr>
          <w:rFonts w:ascii="Tahoma" w:hAnsi="Tahoma" w:cs="Tahoma"/>
          <w:b/>
          <w:sz w:val="22"/>
          <w:szCs w:val="22"/>
          <w:u w:val="single"/>
        </w:rPr>
        <w:lastRenderedPageBreak/>
        <w:t>Odgođeno plaćanje rashoda i prihodi budućih razdoblja (Šifra 29)</w:t>
      </w:r>
      <w:r>
        <w:rPr>
          <w:rFonts w:ascii="Tahoma" w:hAnsi="Tahoma" w:cs="Tahoma"/>
          <w:sz w:val="22"/>
          <w:szCs w:val="22"/>
        </w:rPr>
        <w:t xml:space="preserve"> na dan 31.12.2024</w:t>
      </w:r>
      <w:r w:rsidRPr="00100D87">
        <w:rPr>
          <w:rFonts w:ascii="Tahoma" w:hAnsi="Tahoma" w:cs="Tahoma"/>
          <w:sz w:val="22"/>
          <w:szCs w:val="22"/>
        </w:rPr>
        <w:t>. godine</w:t>
      </w:r>
      <w:r w:rsidR="003F14BE">
        <w:rPr>
          <w:rFonts w:ascii="Tahoma" w:hAnsi="Tahoma" w:cs="Tahoma"/>
          <w:sz w:val="22"/>
          <w:szCs w:val="22"/>
        </w:rPr>
        <w:t xml:space="preserve"> iskazano je u iznosu od 583.341</w:t>
      </w:r>
      <w:r w:rsidRPr="00100D87">
        <w:rPr>
          <w:rFonts w:ascii="Tahoma" w:hAnsi="Tahoma" w:cs="Tahoma"/>
          <w:sz w:val="22"/>
          <w:szCs w:val="22"/>
        </w:rPr>
        <w:t xml:space="preserve"> EUR što je za </w:t>
      </w:r>
      <w:r>
        <w:rPr>
          <w:rFonts w:ascii="Tahoma" w:hAnsi="Tahoma" w:cs="Tahoma"/>
          <w:sz w:val="22"/>
          <w:szCs w:val="22"/>
        </w:rPr>
        <w:t>40,8% manje u odnosu na isti datum 2023</w:t>
      </w:r>
      <w:r w:rsidRPr="00100D87">
        <w:rPr>
          <w:rFonts w:ascii="Tahoma" w:hAnsi="Tahoma" w:cs="Tahoma"/>
          <w:sz w:val="22"/>
          <w:szCs w:val="22"/>
        </w:rPr>
        <w:t>. godine.</w:t>
      </w:r>
    </w:p>
    <w:p w:rsidR="007A292F" w:rsidRPr="00196DB0" w:rsidRDefault="007A292F" w:rsidP="007A292F">
      <w:pPr>
        <w:spacing w:line="276" w:lineRule="auto"/>
        <w:jc w:val="both"/>
        <w:rPr>
          <w:rFonts w:ascii="Tahoma" w:eastAsia="Calibri" w:hAnsi="Tahoma" w:cs="Tahoma"/>
          <w:sz w:val="22"/>
          <w:szCs w:val="22"/>
        </w:rPr>
      </w:pPr>
    </w:p>
    <w:p w:rsidR="007A292F" w:rsidRPr="00196DB0" w:rsidRDefault="007A292F" w:rsidP="00196DB0">
      <w:pPr>
        <w:jc w:val="both"/>
        <w:rPr>
          <w:rFonts w:ascii="Tahoma" w:eastAsia="Calibri" w:hAnsi="Tahoma" w:cs="Tahoma"/>
          <w:sz w:val="22"/>
          <w:szCs w:val="22"/>
        </w:rPr>
      </w:pPr>
      <w:r w:rsidRPr="00196DB0">
        <w:rPr>
          <w:rFonts w:ascii="Tahoma" w:eastAsia="Calibri" w:hAnsi="Tahoma" w:cs="Tahoma"/>
          <w:sz w:val="22"/>
          <w:szCs w:val="22"/>
        </w:rPr>
        <w:t>Odgođeno plaćanje rashoda u iznosu od 91.729 EUR odnosi se na nefakturirane građevinske radove. Prihodi budućih razdoblja u iznosu od 491.611 EUR odnose se na odgođeno priznavanje prihoda za neutrošene donacije lijekova, medicinskog potrošnog materijala i krvnih pripravaka.</w:t>
      </w:r>
    </w:p>
    <w:p w:rsidR="007A292F" w:rsidRDefault="007A292F" w:rsidP="000B6089">
      <w:pPr>
        <w:jc w:val="both"/>
        <w:rPr>
          <w:rFonts w:ascii="Tahoma" w:hAnsi="Tahoma" w:cs="Tahoma"/>
          <w:sz w:val="22"/>
          <w:szCs w:val="22"/>
        </w:rPr>
      </w:pPr>
    </w:p>
    <w:p w:rsidR="007A292F" w:rsidRPr="007A292F" w:rsidRDefault="007A292F" w:rsidP="007A292F">
      <w:pPr>
        <w:jc w:val="both"/>
        <w:rPr>
          <w:rFonts w:ascii="Tahoma" w:hAnsi="Tahoma" w:cs="Tahoma"/>
          <w:sz w:val="22"/>
          <w:szCs w:val="22"/>
        </w:rPr>
      </w:pPr>
      <w:r w:rsidRPr="007A292F">
        <w:rPr>
          <w:rFonts w:ascii="Tahoma" w:hAnsi="Tahoma" w:cs="Tahoma"/>
          <w:b/>
          <w:color w:val="000000"/>
          <w:sz w:val="22"/>
          <w:szCs w:val="22"/>
          <w:u w:val="single"/>
          <w:lang w:eastAsia="hr-HR"/>
        </w:rPr>
        <w:t>Višak/manjak prihoda (Šifra 922)</w:t>
      </w:r>
      <w:r w:rsidRPr="007A292F">
        <w:rPr>
          <w:rFonts w:ascii="Tahoma" w:hAnsi="Tahoma" w:cs="Tahoma"/>
          <w:color w:val="000000"/>
          <w:sz w:val="22"/>
          <w:szCs w:val="22"/>
          <w:lang w:eastAsia="hr-HR"/>
        </w:rPr>
        <w:t xml:space="preserve"> </w:t>
      </w:r>
    </w:p>
    <w:p w:rsidR="007A292F" w:rsidRPr="007A292F" w:rsidRDefault="007A292F" w:rsidP="007A292F">
      <w:pPr>
        <w:pStyle w:val="PlainText"/>
        <w:rPr>
          <w:rFonts w:ascii="Tahoma" w:hAnsi="Tahoma" w:cs="Tahoma"/>
          <w:b/>
          <w:sz w:val="22"/>
          <w:szCs w:val="22"/>
        </w:rPr>
      </w:pP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Podaci u bilanci iskazani su nakon obvezne korekcije rezultata sukladno članku 82. Pravilnika o proračunskom računovodstvu i Računskom planu te je iskazan manjak prihoda poslovanja u iznosu od 242.080.019 EUR, manjak prihoda od nefinancijske imovine u iznosu od 15.960.559 EUR i manjak prihoda od financijske imovine u iznosu od 1.954.933 EUR. Temeljem navedenog postoji odstupanje u odnosu na PR-RAS obrazac kako slijedi:</w:t>
      </w:r>
    </w:p>
    <w:p w:rsidR="007A292F" w:rsidRPr="007A292F" w:rsidRDefault="007A292F" w:rsidP="007A292F">
      <w:pPr>
        <w:pStyle w:val="PlainText"/>
        <w:jc w:val="both"/>
        <w:rPr>
          <w:rFonts w:ascii="Tahoma" w:hAnsi="Tahoma" w:cs="Tahoma"/>
          <w:sz w:val="22"/>
          <w:szCs w:val="22"/>
        </w:rPr>
      </w:pPr>
    </w:p>
    <w:p w:rsidR="007A292F" w:rsidRPr="007A292F" w:rsidRDefault="007A292F" w:rsidP="007A292F">
      <w:pPr>
        <w:pStyle w:val="PlainText"/>
        <w:rPr>
          <w:rFonts w:ascii="Tahoma" w:hAnsi="Tahoma" w:cs="Tahoma"/>
          <w:sz w:val="22"/>
          <w:szCs w:val="22"/>
        </w:rPr>
      </w:pPr>
    </w:p>
    <w:tbl>
      <w:tblPr>
        <w:tblW w:w="9365" w:type="dxa"/>
        <w:tblInd w:w="-10" w:type="dxa"/>
        <w:tblLook w:val="04A0" w:firstRow="1" w:lastRow="0" w:firstColumn="1" w:lastColumn="0" w:noHBand="0" w:noVBand="1"/>
      </w:tblPr>
      <w:tblGrid>
        <w:gridCol w:w="774"/>
        <w:gridCol w:w="4188"/>
        <w:gridCol w:w="1417"/>
        <w:gridCol w:w="1559"/>
        <w:gridCol w:w="1427"/>
      </w:tblGrid>
      <w:tr w:rsidR="007A292F" w:rsidRPr="007A292F" w:rsidTr="007A1C80">
        <w:trPr>
          <w:trHeight w:val="713"/>
        </w:trPr>
        <w:tc>
          <w:tcPr>
            <w:tcW w:w="7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292F" w:rsidRPr="007A292F" w:rsidRDefault="007A292F" w:rsidP="007A1C80">
            <w:pPr>
              <w:jc w:val="center"/>
              <w:rPr>
                <w:rFonts w:ascii="Tahoma" w:hAnsi="Tahoma" w:cs="Tahoma"/>
                <w:color w:val="000000"/>
                <w:sz w:val="20"/>
                <w:szCs w:val="20"/>
                <w:lang w:eastAsia="hr-HR"/>
              </w:rPr>
            </w:pPr>
            <w:r w:rsidRPr="007A292F">
              <w:rPr>
                <w:rFonts w:ascii="Tahoma" w:hAnsi="Tahoma" w:cs="Tahoma"/>
                <w:color w:val="000000"/>
                <w:sz w:val="20"/>
                <w:szCs w:val="20"/>
              </w:rPr>
              <w:t>Račun</w:t>
            </w:r>
          </w:p>
        </w:tc>
        <w:tc>
          <w:tcPr>
            <w:tcW w:w="4188" w:type="dxa"/>
            <w:tcBorders>
              <w:top w:val="single" w:sz="8" w:space="0" w:color="auto"/>
              <w:left w:val="nil"/>
              <w:bottom w:val="single" w:sz="8" w:space="0" w:color="auto"/>
              <w:right w:val="single" w:sz="8" w:space="0" w:color="auto"/>
            </w:tcBorders>
            <w:shd w:val="clear" w:color="auto" w:fill="auto"/>
            <w:noWrap/>
            <w:vAlign w:val="center"/>
            <w:hideMark/>
          </w:tcPr>
          <w:p w:rsidR="007A292F" w:rsidRPr="007A292F" w:rsidRDefault="007A292F" w:rsidP="007A1C80">
            <w:pPr>
              <w:jc w:val="center"/>
              <w:rPr>
                <w:rFonts w:ascii="Tahoma" w:hAnsi="Tahoma" w:cs="Tahoma"/>
                <w:color w:val="000000"/>
                <w:sz w:val="20"/>
                <w:szCs w:val="20"/>
              </w:rPr>
            </w:pPr>
            <w:r w:rsidRPr="007A292F">
              <w:rPr>
                <w:rFonts w:ascii="Tahoma" w:hAnsi="Tahoma" w:cs="Tahoma"/>
                <w:color w:val="000000"/>
                <w:sz w:val="20"/>
                <w:szCs w:val="20"/>
              </w:rPr>
              <w:t>Naziv računa</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7A292F" w:rsidRPr="007A292F" w:rsidRDefault="007A292F" w:rsidP="007A1C80">
            <w:pPr>
              <w:jc w:val="center"/>
              <w:rPr>
                <w:rFonts w:ascii="Tahoma" w:hAnsi="Tahoma" w:cs="Tahoma"/>
                <w:color w:val="000000"/>
                <w:sz w:val="20"/>
                <w:szCs w:val="20"/>
              </w:rPr>
            </w:pPr>
            <w:r w:rsidRPr="007A292F">
              <w:rPr>
                <w:rFonts w:ascii="Tahoma" w:hAnsi="Tahoma" w:cs="Tahoma"/>
                <w:color w:val="000000"/>
                <w:sz w:val="20"/>
                <w:szCs w:val="20"/>
              </w:rPr>
              <w:t>PR-RAS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7A292F" w:rsidRPr="007A292F" w:rsidRDefault="007A292F" w:rsidP="007A1C80">
            <w:pPr>
              <w:jc w:val="center"/>
              <w:rPr>
                <w:rFonts w:ascii="Tahoma" w:hAnsi="Tahoma" w:cs="Tahoma"/>
                <w:color w:val="000000"/>
                <w:sz w:val="20"/>
                <w:szCs w:val="20"/>
              </w:rPr>
            </w:pPr>
            <w:r w:rsidRPr="007A292F">
              <w:rPr>
                <w:rFonts w:ascii="Tahoma" w:hAnsi="Tahoma" w:cs="Tahoma"/>
                <w:color w:val="000000"/>
                <w:sz w:val="20"/>
                <w:szCs w:val="20"/>
              </w:rPr>
              <w:t>Korekcija kapitalnih prijenosa</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rsidR="007A292F" w:rsidRPr="007A292F" w:rsidRDefault="007A292F" w:rsidP="007A1C80">
            <w:pPr>
              <w:jc w:val="center"/>
              <w:rPr>
                <w:rFonts w:ascii="Tahoma" w:hAnsi="Tahoma" w:cs="Tahoma"/>
                <w:color w:val="000000"/>
                <w:sz w:val="20"/>
                <w:szCs w:val="20"/>
              </w:rPr>
            </w:pPr>
            <w:r w:rsidRPr="007A292F">
              <w:rPr>
                <w:rFonts w:ascii="Tahoma" w:hAnsi="Tahoma" w:cs="Tahoma"/>
                <w:color w:val="000000"/>
                <w:sz w:val="20"/>
                <w:szCs w:val="20"/>
              </w:rPr>
              <w:t>Bilanca</w:t>
            </w:r>
          </w:p>
        </w:tc>
      </w:tr>
      <w:tr w:rsidR="007A292F" w:rsidRPr="007A292F" w:rsidTr="007A1C80">
        <w:trPr>
          <w:trHeight w:val="315"/>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92211</w:t>
            </w:r>
          </w:p>
        </w:tc>
        <w:tc>
          <w:tcPr>
            <w:tcW w:w="4188"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rPr>
                <w:rFonts w:ascii="Tahoma" w:hAnsi="Tahoma" w:cs="Tahoma"/>
                <w:color w:val="000000"/>
                <w:sz w:val="20"/>
                <w:szCs w:val="20"/>
              </w:rPr>
            </w:pPr>
            <w:r>
              <w:rPr>
                <w:rFonts w:ascii="Tahoma" w:hAnsi="Tahoma" w:cs="Tahoma"/>
                <w:color w:val="000000"/>
                <w:sz w:val="20"/>
                <w:szCs w:val="20"/>
              </w:rPr>
              <w:t xml:space="preserve">Višak/manjak prihoda poslovanja </w:t>
            </w:r>
          </w:p>
        </w:tc>
        <w:tc>
          <w:tcPr>
            <w:tcW w:w="1417"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28.878.524</w:t>
            </w:r>
          </w:p>
        </w:tc>
        <w:tc>
          <w:tcPr>
            <w:tcW w:w="1559"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-67.890.722</w:t>
            </w:r>
          </w:p>
        </w:tc>
        <w:tc>
          <w:tcPr>
            <w:tcW w:w="1427"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-39.012.198</w:t>
            </w:r>
          </w:p>
        </w:tc>
      </w:tr>
      <w:tr w:rsidR="007A292F" w:rsidRPr="007A292F" w:rsidTr="007A1C80">
        <w:trPr>
          <w:trHeight w:val="315"/>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92222</w:t>
            </w:r>
          </w:p>
        </w:tc>
        <w:tc>
          <w:tcPr>
            <w:tcW w:w="4188"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292F">
            <w:pPr>
              <w:rPr>
                <w:rFonts w:ascii="Tahoma" w:hAnsi="Tahoma" w:cs="Tahoma"/>
                <w:color w:val="000000"/>
                <w:sz w:val="20"/>
                <w:szCs w:val="20"/>
              </w:rPr>
            </w:pPr>
            <w:r w:rsidRPr="007A292F">
              <w:rPr>
                <w:rFonts w:ascii="Tahoma" w:hAnsi="Tahoma" w:cs="Tahoma"/>
                <w:color w:val="000000"/>
                <w:sz w:val="20"/>
                <w:szCs w:val="20"/>
              </w:rPr>
              <w:t>M</w:t>
            </w:r>
            <w:r>
              <w:rPr>
                <w:rFonts w:ascii="Tahoma" w:hAnsi="Tahoma" w:cs="Tahoma"/>
                <w:color w:val="000000"/>
                <w:sz w:val="20"/>
                <w:szCs w:val="20"/>
              </w:rPr>
              <w:t>anjak prihoda od nefinancijske imovine</w:t>
            </w:r>
          </w:p>
        </w:tc>
        <w:tc>
          <w:tcPr>
            <w:tcW w:w="1417"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-81.855.566</w:t>
            </w:r>
          </w:p>
        </w:tc>
        <w:tc>
          <w:tcPr>
            <w:tcW w:w="1559"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67.890.722</w:t>
            </w:r>
          </w:p>
        </w:tc>
        <w:tc>
          <w:tcPr>
            <w:tcW w:w="1427"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-13.964.844</w:t>
            </w:r>
          </w:p>
        </w:tc>
      </w:tr>
      <w:tr w:rsidR="007A292F" w:rsidRPr="007A292F" w:rsidTr="007A1C80">
        <w:trPr>
          <w:trHeight w:val="315"/>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92213</w:t>
            </w:r>
          </w:p>
        </w:tc>
        <w:tc>
          <w:tcPr>
            <w:tcW w:w="4188"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rPr>
                <w:rFonts w:ascii="Tahoma" w:hAnsi="Tahoma" w:cs="Tahoma"/>
                <w:color w:val="000000"/>
                <w:sz w:val="20"/>
                <w:szCs w:val="20"/>
              </w:rPr>
            </w:pPr>
            <w:r>
              <w:rPr>
                <w:rFonts w:ascii="Tahoma" w:hAnsi="Tahoma" w:cs="Tahoma"/>
                <w:color w:val="000000"/>
                <w:sz w:val="20"/>
                <w:szCs w:val="20"/>
              </w:rPr>
              <w:t>Manjak primitaka od financijske imovine</w:t>
            </w:r>
          </w:p>
        </w:tc>
        <w:tc>
          <w:tcPr>
            <w:tcW w:w="1417"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-2.334.103</w:t>
            </w:r>
          </w:p>
        </w:tc>
        <w:tc>
          <w:tcPr>
            <w:tcW w:w="1559"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rPr>
                <w:rFonts w:ascii="Tahoma" w:hAnsi="Tahoma" w:cs="Tahoma"/>
                <w:color w:val="000000"/>
                <w:sz w:val="20"/>
                <w:szCs w:val="20"/>
              </w:rPr>
            </w:pPr>
            <w:r w:rsidRPr="007A292F">
              <w:rPr>
                <w:rFonts w:ascii="Tahoma" w:hAnsi="Tahoma" w:cs="Tahoma"/>
                <w:color w:val="000000"/>
                <w:sz w:val="20"/>
                <w:szCs w:val="20"/>
              </w:rPr>
              <w:t> </w:t>
            </w:r>
          </w:p>
        </w:tc>
        <w:tc>
          <w:tcPr>
            <w:tcW w:w="1427"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-2.334.103</w:t>
            </w:r>
          </w:p>
        </w:tc>
      </w:tr>
      <w:tr w:rsidR="007A292F" w:rsidRPr="007A292F" w:rsidTr="007A1C80">
        <w:trPr>
          <w:trHeight w:val="315"/>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A292F" w:rsidRPr="007A292F" w:rsidRDefault="007A292F" w:rsidP="007A1C80">
            <w:pPr>
              <w:jc w:val="center"/>
              <w:rPr>
                <w:rFonts w:ascii="Tahoma" w:hAnsi="Tahoma" w:cs="Tahoma"/>
                <w:color w:val="000000"/>
                <w:sz w:val="20"/>
                <w:szCs w:val="20"/>
              </w:rPr>
            </w:pPr>
            <w:r w:rsidRPr="007A292F">
              <w:rPr>
                <w:rFonts w:ascii="Tahoma" w:hAnsi="Tahoma" w:cs="Tahoma"/>
                <w:color w:val="000000"/>
                <w:sz w:val="20"/>
                <w:szCs w:val="20"/>
              </w:rPr>
              <w:t>Ukupno</w:t>
            </w:r>
          </w:p>
        </w:tc>
        <w:tc>
          <w:tcPr>
            <w:tcW w:w="1417"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-55.311.145</w:t>
            </w:r>
          </w:p>
        </w:tc>
        <w:tc>
          <w:tcPr>
            <w:tcW w:w="1559"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0</w:t>
            </w:r>
          </w:p>
        </w:tc>
        <w:tc>
          <w:tcPr>
            <w:tcW w:w="1427" w:type="dxa"/>
            <w:tcBorders>
              <w:top w:val="nil"/>
              <w:left w:val="nil"/>
              <w:bottom w:val="single" w:sz="8" w:space="0" w:color="auto"/>
              <w:right w:val="single" w:sz="8" w:space="0" w:color="auto"/>
            </w:tcBorders>
            <w:shd w:val="clear" w:color="auto" w:fill="auto"/>
            <w:noWrap/>
            <w:vAlign w:val="center"/>
            <w:hideMark/>
          </w:tcPr>
          <w:p w:rsidR="007A292F" w:rsidRPr="007A292F" w:rsidRDefault="007A292F" w:rsidP="007A1C80">
            <w:pPr>
              <w:jc w:val="right"/>
              <w:rPr>
                <w:rFonts w:ascii="Tahoma" w:hAnsi="Tahoma" w:cs="Tahoma"/>
                <w:color w:val="000000"/>
                <w:sz w:val="20"/>
                <w:szCs w:val="20"/>
              </w:rPr>
            </w:pPr>
            <w:r w:rsidRPr="007A292F">
              <w:rPr>
                <w:rFonts w:ascii="Tahoma" w:hAnsi="Tahoma" w:cs="Tahoma"/>
                <w:color w:val="000000"/>
                <w:sz w:val="20"/>
                <w:szCs w:val="20"/>
              </w:rPr>
              <w:t>-55.311.145</w:t>
            </w:r>
          </w:p>
        </w:tc>
      </w:tr>
    </w:tbl>
    <w:p w:rsidR="007A292F" w:rsidRPr="007A292F" w:rsidRDefault="007A292F" w:rsidP="007A292F">
      <w:pPr>
        <w:jc w:val="both"/>
        <w:rPr>
          <w:rFonts w:ascii="Tahoma" w:hAnsi="Tahoma" w:cs="Tahoma"/>
          <w:color w:val="000000"/>
          <w:sz w:val="22"/>
          <w:szCs w:val="22"/>
          <w:lang w:eastAsia="hr-HR"/>
        </w:rPr>
      </w:pPr>
    </w:p>
    <w:p w:rsidR="007A292F" w:rsidRPr="007A292F" w:rsidRDefault="007A292F" w:rsidP="007A292F">
      <w:pPr>
        <w:pStyle w:val="PlainText"/>
        <w:rPr>
          <w:rFonts w:ascii="Tahoma" w:hAnsi="Tahoma" w:cs="Tahoma"/>
          <w:b/>
          <w:sz w:val="22"/>
          <w:szCs w:val="22"/>
        </w:rPr>
      </w:pPr>
    </w:p>
    <w:p w:rsidR="007A292F" w:rsidRPr="007A292F" w:rsidRDefault="007A292F" w:rsidP="007A292F">
      <w:pPr>
        <w:pStyle w:val="PlainText"/>
        <w:rPr>
          <w:rFonts w:ascii="Tahoma" w:hAnsi="Tahoma" w:cs="Tahoma"/>
          <w:b/>
          <w:sz w:val="22"/>
          <w:szCs w:val="22"/>
        </w:rPr>
      </w:pPr>
      <w:r w:rsidRPr="007A292F">
        <w:rPr>
          <w:rFonts w:ascii="Tahoma" w:hAnsi="Tahoma" w:cs="Tahoma"/>
          <w:b/>
          <w:sz w:val="22"/>
          <w:szCs w:val="22"/>
        </w:rPr>
        <w:t>Višak ili manjak prihoda poslovanja</w:t>
      </w:r>
    </w:p>
    <w:p w:rsidR="007A292F" w:rsidRPr="007A292F" w:rsidRDefault="007A292F" w:rsidP="007A292F">
      <w:pPr>
        <w:pStyle w:val="PlainText"/>
        <w:rPr>
          <w:rFonts w:ascii="Tahoma" w:hAnsi="Tahoma" w:cs="Tahoma"/>
          <w:sz w:val="22"/>
          <w:szCs w:val="22"/>
        </w:rPr>
      </w:pPr>
    </w:p>
    <w:p w:rsidR="007A292F" w:rsidRDefault="007A292F" w:rsidP="007A292F">
      <w:pPr>
        <w:pStyle w:val="PlainText"/>
        <w:jc w:val="both"/>
        <w:rPr>
          <w:rFonts w:ascii="Tahoma" w:hAnsi="Tahoma" w:cs="Tahoma"/>
          <w:sz w:val="22"/>
          <w:szCs w:val="22"/>
        </w:rPr>
      </w:pPr>
      <w:r w:rsidRPr="007A292F">
        <w:rPr>
          <w:rFonts w:ascii="Tahoma" w:hAnsi="Tahoma" w:cs="Tahoma"/>
          <w:sz w:val="22"/>
          <w:szCs w:val="22"/>
        </w:rPr>
        <w:t>Višak ili manjak prihoda od redovnog poslovanja rezultat je sučeljavanja prihoda i rashoda od poslovanja u jednoj proračunskoj godini.</w:t>
      </w:r>
    </w:p>
    <w:p w:rsidR="00F43BFA" w:rsidRPr="007A292F" w:rsidRDefault="00F43BFA" w:rsidP="007A292F">
      <w:pPr>
        <w:pStyle w:val="PlainText"/>
        <w:jc w:val="both"/>
        <w:rPr>
          <w:rFonts w:ascii="Tahoma" w:hAnsi="Tahoma" w:cs="Tahoma"/>
          <w:sz w:val="22"/>
          <w:szCs w:val="22"/>
        </w:rPr>
      </w:pP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Prihodi poslovanja u KBC-u Zagreb su prihodi iz Državnog proračuna i HZZO-a za financiranje redovne djelatnosti na temelju ugovornih obveza, prihodi po posebnim propisima – dopunsko zdravstveno osiguranje i participacije te vlastiti prihodi od pruženih zdravstvenih i nezdravstvenih usluga.</w:t>
      </w: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Rashodi poslovanja su rashodi za zaposlene, materijalni rashodi, financijski rashodi, naknade građanima i kućanstvima i ostali rashodi.</w:t>
      </w:r>
    </w:p>
    <w:p w:rsidR="007A292F" w:rsidRPr="007A292F" w:rsidRDefault="007A292F" w:rsidP="007A292F">
      <w:pPr>
        <w:pStyle w:val="PlainText"/>
        <w:jc w:val="both"/>
        <w:rPr>
          <w:rFonts w:ascii="Tahoma" w:hAnsi="Tahoma" w:cs="Tahoma"/>
          <w:sz w:val="22"/>
          <w:szCs w:val="22"/>
        </w:rPr>
      </w:pPr>
    </w:p>
    <w:p w:rsidR="001430A0" w:rsidRDefault="007A292F" w:rsidP="007A292F">
      <w:pPr>
        <w:pStyle w:val="PlainText"/>
        <w:jc w:val="both"/>
        <w:rPr>
          <w:rFonts w:ascii="Tahoma" w:hAnsi="Tahoma" w:cs="Tahoma"/>
          <w:sz w:val="22"/>
          <w:szCs w:val="22"/>
        </w:rPr>
      </w:pPr>
      <w:r w:rsidRPr="007A292F">
        <w:rPr>
          <w:rFonts w:ascii="Tahoma" w:hAnsi="Tahoma" w:cs="Tahoma"/>
          <w:sz w:val="22"/>
          <w:szCs w:val="22"/>
        </w:rPr>
        <w:t xml:space="preserve">Prihodi i rashodi od redovnog poslovanja iskazuju se uz primjenu modificiranoga računovodstvenog načela nastanka događaja. </w:t>
      </w:r>
    </w:p>
    <w:p w:rsidR="001430A0" w:rsidRDefault="001430A0" w:rsidP="007A292F">
      <w:pPr>
        <w:pStyle w:val="PlainText"/>
        <w:jc w:val="both"/>
        <w:rPr>
          <w:rFonts w:ascii="Tahoma" w:hAnsi="Tahoma" w:cs="Tahoma"/>
          <w:sz w:val="22"/>
          <w:szCs w:val="22"/>
        </w:rPr>
      </w:pP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Modificirano računovodstveno načelo nastanka događaja znači da se:</w:t>
      </w: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 prihodi priznaju u izvještajnom razdoblju u kojemu su postali raspoloživi i pod uvjetom da se mogu izmjeriti,</w:t>
      </w: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 rashodi priznaju na temelju nastanka poslovnog događaja (obveza) i u izvještajnom razdoblju na koje se odnose neovisno o plaćanju,</w:t>
      </w:r>
    </w:p>
    <w:p w:rsidR="007A292F" w:rsidRDefault="007A292F" w:rsidP="007A292F">
      <w:pPr>
        <w:pStyle w:val="PlainText"/>
        <w:jc w:val="both"/>
        <w:rPr>
          <w:rFonts w:ascii="Tahoma" w:hAnsi="Tahoma" w:cs="Tahoma"/>
          <w:sz w:val="22"/>
          <w:szCs w:val="22"/>
        </w:rPr>
      </w:pPr>
      <w:r w:rsidRPr="007A292F">
        <w:rPr>
          <w:rFonts w:ascii="Tahoma" w:hAnsi="Tahoma" w:cs="Tahoma"/>
          <w:sz w:val="22"/>
          <w:szCs w:val="22"/>
        </w:rPr>
        <w:t>– rashodi za utrošak kratkotrajne nefinancijske imovine priznaju se u trenutku nabave i u visini njene nabavne vrijednosti. Iznimno, u djelatnosti zdravstva te u obavljanju vlastite trgovačke i proizvođačke djelatnosti rashodi za kratkotrajnu nefinancijsku imovinu iskazuju se u trenutku stvarnog utroška odnosno prodaje.</w:t>
      </w:r>
    </w:p>
    <w:p w:rsidR="00B3450A" w:rsidRDefault="00B3450A" w:rsidP="007A292F">
      <w:pPr>
        <w:pStyle w:val="PlainText"/>
        <w:jc w:val="both"/>
        <w:rPr>
          <w:rFonts w:ascii="Tahoma" w:hAnsi="Tahoma" w:cs="Tahoma"/>
          <w:sz w:val="22"/>
          <w:szCs w:val="22"/>
        </w:rPr>
      </w:pPr>
    </w:p>
    <w:p w:rsidR="00B3450A" w:rsidRDefault="00B3450A" w:rsidP="007A292F">
      <w:pPr>
        <w:pStyle w:val="PlainText"/>
        <w:jc w:val="both"/>
        <w:rPr>
          <w:rFonts w:ascii="Tahoma" w:hAnsi="Tahoma" w:cs="Tahoma"/>
          <w:sz w:val="22"/>
          <w:szCs w:val="22"/>
        </w:rPr>
      </w:pPr>
    </w:p>
    <w:p w:rsidR="00B3450A" w:rsidRPr="007A292F" w:rsidRDefault="00B3450A" w:rsidP="007A292F">
      <w:pPr>
        <w:pStyle w:val="PlainText"/>
        <w:jc w:val="both"/>
        <w:rPr>
          <w:rFonts w:ascii="Tahoma" w:hAnsi="Tahoma" w:cs="Tahoma"/>
          <w:sz w:val="22"/>
          <w:szCs w:val="22"/>
        </w:rPr>
      </w:pPr>
    </w:p>
    <w:p w:rsidR="007A292F" w:rsidRPr="007A292F" w:rsidRDefault="007A292F" w:rsidP="007A292F">
      <w:pPr>
        <w:pStyle w:val="PlainText"/>
        <w:rPr>
          <w:rFonts w:ascii="Tahoma" w:hAnsi="Tahoma" w:cs="Tahoma"/>
          <w:b/>
          <w:sz w:val="22"/>
          <w:szCs w:val="22"/>
        </w:rPr>
      </w:pPr>
      <w:r w:rsidRPr="007A292F">
        <w:rPr>
          <w:rFonts w:ascii="Tahoma" w:hAnsi="Tahoma" w:cs="Tahoma"/>
          <w:b/>
          <w:sz w:val="22"/>
          <w:szCs w:val="22"/>
        </w:rPr>
        <w:lastRenderedPageBreak/>
        <w:t>Višak ili manjak prihoda od nefinancijske imovine (kapitalnih aktivnosti)</w:t>
      </w:r>
    </w:p>
    <w:p w:rsidR="007A292F" w:rsidRPr="007A292F" w:rsidRDefault="007A292F" w:rsidP="007A292F">
      <w:pPr>
        <w:pStyle w:val="PlainText"/>
        <w:rPr>
          <w:rFonts w:ascii="Tahoma" w:hAnsi="Tahoma" w:cs="Tahoma"/>
          <w:sz w:val="22"/>
          <w:szCs w:val="22"/>
        </w:rPr>
      </w:pP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Višak ili manjak prihoda od nefinancijske imovine rezultat je sučeljavanja prihoda i rashoda od nefinancijske imovine u jednoj proračunskoj godini.</w:t>
      </w:r>
    </w:p>
    <w:p w:rsidR="007A292F" w:rsidRPr="007A292F" w:rsidRDefault="007A292F" w:rsidP="007A292F">
      <w:pPr>
        <w:pStyle w:val="PlainText"/>
        <w:jc w:val="both"/>
        <w:rPr>
          <w:rFonts w:ascii="Tahoma" w:hAnsi="Tahoma" w:cs="Tahoma"/>
          <w:sz w:val="22"/>
          <w:szCs w:val="22"/>
        </w:rPr>
      </w:pP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Prihodi od nefinancijske imovine u KBC-u Zagreb su prihodi od prodaje stanova na kojima postoji stanarsko pravo te prihodi od prodaje dugotrajne imovine.</w:t>
      </w: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Rashodi za nabavu nefinancijske imovine su rashodi za izgradnju građevinskih objekata i dodatna ulaganja u iste te nabavu uređaja i opreme.</w:t>
      </w:r>
    </w:p>
    <w:p w:rsidR="007A292F" w:rsidRPr="007A292F" w:rsidRDefault="007A292F" w:rsidP="007A292F">
      <w:pPr>
        <w:pStyle w:val="PlainText"/>
        <w:jc w:val="both"/>
        <w:rPr>
          <w:rFonts w:ascii="Tahoma" w:hAnsi="Tahoma" w:cs="Tahoma"/>
          <w:sz w:val="22"/>
          <w:szCs w:val="22"/>
        </w:rPr>
      </w:pP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Prihodi i rashodi od nefinancijske imovine iskazuju se uz primjenu modificiranoga računovodstvenog načela nastanka događaja. Modificirano računovodstveno načelo nastanka događaja znači da se:</w:t>
      </w: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 ne iskazuje rashod amortizacije nefinancijske dugotrajne imovine,</w:t>
      </w: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 ne iskazuju prihodi i rashodi uslijed promjena vrijednosti nefinancijske imovine,</w:t>
      </w: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 prihodi priznaju u izvještajnom razdoblju u kojemu su postali raspoloživi i pod uvjetom da se mogu izmjeriti,</w:t>
      </w: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 rashodi priznaju na temelju nastanka poslovnog događaja (obveza) i u izvještajnom razdoblju na koje se odnose neovisno o plaćanju,</w:t>
      </w: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 za donacije nefinancijske imovine iskazuju se prihodi i rashodi.</w:t>
      </w:r>
    </w:p>
    <w:p w:rsidR="007A292F" w:rsidRPr="007A292F" w:rsidRDefault="007A292F" w:rsidP="007A292F">
      <w:pPr>
        <w:pStyle w:val="PlainText"/>
        <w:jc w:val="both"/>
        <w:rPr>
          <w:rFonts w:ascii="Tahoma" w:hAnsi="Tahoma" w:cs="Tahoma"/>
          <w:sz w:val="22"/>
          <w:szCs w:val="22"/>
        </w:rPr>
      </w:pPr>
    </w:p>
    <w:p w:rsidR="007A292F" w:rsidRPr="007A292F" w:rsidRDefault="007A292F" w:rsidP="007A292F">
      <w:pPr>
        <w:pStyle w:val="PlainText"/>
        <w:rPr>
          <w:rFonts w:ascii="Tahoma" w:hAnsi="Tahoma" w:cs="Tahoma"/>
          <w:b/>
          <w:sz w:val="22"/>
          <w:szCs w:val="22"/>
        </w:rPr>
      </w:pPr>
    </w:p>
    <w:p w:rsidR="007A292F" w:rsidRPr="007A292F" w:rsidRDefault="007A292F" w:rsidP="007A292F">
      <w:pPr>
        <w:pStyle w:val="PlainText"/>
        <w:rPr>
          <w:rFonts w:ascii="Tahoma" w:hAnsi="Tahoma" w:cs="Tahoma"/>
          <w:b/>
          <w:sz w:val="22"/>
          <w:szCs w:val="22"/>
        </w:rPr>
      </w:pPr>
      <w:r w:rsidRPr="007A292F">
        <w:rPr>
          <w:rFonts w:ascii="Tahoma" w:hAnsi="Tahoma" w:cs="Tahoma"/>
          <w:b/>
          <w:sz w:val="22"/>
          <w:szCs w:val="22"/>
        </w:rPr>
        <w:t>Višak ili manjak primitaka od financijske imovine (financijskih aktivnosti)</w:t>
      </w:r>
    </w:p>
    <w:p w:rsidR="007A292F" w:rsidRPr="007A292F" w:rsidRDefault="007A292F" w:rsidP="007A292F">
      <w:pPr>
        <w:pStyle w:val="PlainText"/>
        <w:rPr>
          <w:rFonts w:ascii="Tahoma" w:hAnsi="Tahoma" w:cs="Tahoma"/>
          <w:sz w:val="22"/>
          <w:szCs w:val="22"/>
        </w:rPr>
      </w:pP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Višak ili manjak primitaka od financijske imovine rezultat je sučeljavanja primitaka i izdataka od financijske imovine u jednoj proračunskoj godini.</w:t>
      </w:r>
    </w:p>
    <w:p w:rsidR="007A292F" w:rsidRPr="007A292F" w:rsidRDefault="007A292F" w:rsidP="007A292F">
      <w:pPr>
        <w:pStyle w:val="PlainText"/>
        <w:jc w:val="both"/>
        <w:rPr>
          <w:rFonts w:ascii="Tahoma" w:hAnsi="Tahoma" w:cs="Tahoma"/>
          <w:sz w:val="22"/>
          <w:szCs w:val="22"/>
        </w:rPr>
      </w:pP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 xml:space="preserve">Primici od financijske imovine su primici od zaduživanja (krediti, zajmovi i financijski </w:t>
      </w:r>
      <w:proofErr w:type="spellStart"/>
      <w:r w:rsidRPr="007A292F">
        <w:rPr>
          <w:rFonts w:ascii="Tahoma" w:hAnsi="Tahoma" w:cs="Tahoma"/>
          <w:sz w:val="22"/>
          <w:szCs w:val="22"/>
        </w:rPr>
        <w:t>leasing</w:t>
      </w:r>
      <w:proofErr w:type="spellEnd"/>
      <w:r w:rsidRPr="007A292F">
        <w:rPr>
          <w:rFonts w:ascii="Tahoma" w:hAnsi="Tahoma" w:cs="Tahoma"/>
          <w:sz w:val="22"/>
          <w:szCs w:val="22"/>
        </w:rPr>
        <w:t>).</w:t>
      </w: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 xml:space="preserve">Izdaci od financijske imovine su otplate glavnica primljenih kredita i zajmova te otplate rata za financijski </w:t>
      </w:r>
      <w:proofErr w:type="spellStart"/>
      <w:r w:rsidRPr="007A292F">
        <w:rPr>
          <w:rFonts w:ascii="Tahoma" w:hAnsi="Tahoma" w:cs="Tahoma"/>
          <w:sz w:val="22"/>
          <w:szCs w:val="22"/>
        </w:rPr>
        <w:t>leasing</w:t>
      </w:r>
      <w:proofErr w:type="spellEnd"/>
      <w:r w:rsidRPr="007A292F">
        <w:rPr>
          <w:rFonts w:ascii="Tahoma" w:hAnsi="Tahoma" w:cs="Tahoma"/>
          <w:sz w:val="22"/>
          <w:szCs w:val="22"/>
        </w:rPr>
        <w:t>.</w:t>
      </w:r>
    </w:p>
    <w:p w:rsidR="007A292F" w:rsidRPr="007A292F" w:rsidRDefault="007A292F" w:rsidP="007A292F">
      <w:pPr>
        <w:pStyle w:val="PlainText"/>
        <w:jc w:val="both"/>
        <w:rPr>
          <w:rFonts w:ascii="Tahoma" w:hAnsi="Tahoma" w:cs="Tahoma"/>
          <w:sz w:val="22"/>
          <w:szCs w:val="22"/>
        </w:rPr>
      </w:pPr>
    </w:p>
    <w:p w:rsidR="007A292F" w:rsidRDefault="007A292F" w:rsidP="007A292F">
      <w:pPr>
        <w:pStyle w:val="PlainText"/>
        <w:jc w:val="both"/>
        <w:rPr>
          <w:rFonts w:ascii="Tahoma" w:hAnsi="Tahoma" w:cs="Tahoma"/>
          <w:sz w:val="22"/>
          <w:szCs w:val="22"/>
        </w:rPr>
      </w:pPr>
      <w:r w:rsidRPr="007A292F">
        <w:rPr>
          <w:rFonts w:ascii="Tahoma" w:hAnsi="Tahoma" w:cs="Tahoma"/>
          <w:sz w:val="22"/>
          <w:szCs w:val="22"/>
        </w:rPr>
        <w:t>Primici i izdaci od financijske imovine iskazuju se po gotovinskom načelu pri čemu su primici priljevi novca i novčanih ekvivalenata po svim osnovama, a izdaci odljevi novca i novčanih ekvivalenata po svim osnovama.</w:t>
      </w:r>
    </w:p>
    <w:p w:rsidR="007A292F" w:rsidRPr="007A292F" w:rsidRDefault="007A292F" w:rsidP="007A292F">
      <w:pPr>
        <w:pStyle w:val="PlainText"/>
        <w:jc w:val="both"/>
        <w:rPr>
          <w:rFonts w:ascii="Tahoma" w:hAnsi="Tahoma" w:cs="Tahoma"/>
          <w:b/>
          <w:sz w:val="22"/>
          <w:szCs w:val="22"/>
        </w:rPr>
      </w:pPr>
    </w:p>
    <w:p w:rsidR="007A292F" w:rsidRPr="007A292F" w:rsidRDefault="007A292F" w:rsidP="007A292F">
      <w:pPr>
        <w:pStyle w:val="PlainText"/>
        <w:jc w:val="both"/>
        <w:rPr>
          <w:rFonts w:ascii="Tahoma" w:hAnsi="Tahoma" w:cs="Tahoma"/>
          <w:sz w:val="22"/>
          <w:szCs w:val="22"/>
        </w:rPr>
      </w:pPr>
      <w:r w:rsidRPr="007A292F">
        <w:rPr>
          <w:rFonts w:ascii="Tahoma" w:hAnsi="Tahoma" w:cs="Tahoma"/>
          <w:sz w:val="22"/>
          <w:szCs w:val="22"/>
        </w:rPr>
        <w:t>Tijekom 2024. godine evidentirana su na računima kapitalnih prijenosa sredstva u iznosu od 67.890.722 EUR koja su utrošena za nabavu dugotrajne nefinancijske imovine:</w:t>
      </w:r>
    </w:p>
    <w:p w:rsidR="007A292F" w:rsidRPr="007A292F" w:rsidRDefault="007A292F" w:rsidP="007A292F">
      <w:pPr>
        <w:pStyle w:val="PlainText"/>
        <w:jc w:val="both"/>
        <w:rPr>
          <w:rFonts w:ascii="Tahoma" w:hAnsi="Tahoma" w:cs="Tahoma"/>
          <w:sz w:val="22"/>
          <w:szCs w:val="22"/>
        </w:rPr>
      </w:pPr>
    </w:p>
    <w:p w:rsidR="007A292F" w:rsidRPr="007A292F" w:rsidRDefault="007A292F" w:rsidP="007A292F">
      <w:pPr>
        <w:pStyle w:val="PlainText"/>
        <w:rPr>
          <w:rFonts w:ascii="Tahoma" w:hAnsi="Tahoma" w:cs="Tahoma"/>
          <w:sz w:val="22"/>
          <w:szCs w:val="22"/>
        </w:rPr>
      </w:pPr>
    </w:p>
    <w:tbl>
      <w:tblPr>
        <w:tblW w:w="8515" w:type="dxa"/>
        <w:jc w:val="center"/>
        <w:tblLook w:val="04A0" w:firstRow="1" w:lastRow="0" w:firstColumn="1" w:lastColumn="0" w:noHBand="0" w:noVBand="1"/>
      </w:tblPr>
      <w:tblGrid>
        <w:gridCol w:w="1296"/>
        <w:gridCol w:w="6091"/>
        <w:gridCol w:w="1211"/>
      </w:tblGrid>
      <w:tr w:rsidR="007A292F" w:rsidRPr="007A292F" w:rsidTr="007A1C80">
        <w:trPr>
          <w:trHeight w:val="315"/>
          <w:jc w:val="center"/>
        </w:trPr>
        <w:tc>
          <w:tcPr>
            <w:tcW w:w="12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292F" w:rsidRPr="00346BB9" w:rsidRDefault="007A292F" w:rsidP="007A1C80">
            <w:pPr>
              <w:jc w:val="center"/>
              <w:rPr>
                <w:rFonts w:ascii="Tahoma" w:hAnsi="Tahoma" w:cs="Tahoma"/>
                <w:color w:val="000000"/>
                <w:sz w:val="20"/>
                <w:szCs w:val="20"/>
                <w:lang w:eastAsia="hr-HR"/>
              </w:rPr>
            </w:pPr>
            <w:r w:rsidRPr="00346BB9">
              <w:rPr>
                <w:rFonts w:ascii="Tahoma" w:hAnsi="Tahoma" w:cs="Tahoma"/>
                <w:color w:val="000000"/>
                <w:sz w:val="20"/>
                <w:szCs w:val="20"/>
              </w:rPr>
              <w:t>Račun</w:t>
            </w:r>
          </w:p>
        </w:tc>
        <w:tc>
          <w:tcPr>
            <w:tcW w:w="6091" w:type="dxa"/>
            <w:tcBorders>
              <w:top w:val="single" w:sz="8" w:space="0" w:color="auto"/>
              <w:left w:val="nil"/>
              <w:bottom w:val="single" w:sz="8" w:space="0" w:color="auto"/>
              <w:right w:val="single" w:sz="8" w:space="0" w:color="auto"/>
            </w:tcBorders>
            <w:shd w:val="clear" w:color="auto" w:fill="auto"/>
            <w:noWrap/>
            <w:vAlign w:val="center"/>
            <w:hideMark/>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Naziv</w:t>
            </w:r>
          </w:p>
        </w:tc>
        <w:tc>
          <w:tcPr>
            <w:tcW w:w="1128" w:type="dxa"/>
            <w:tcBorders>
              <w:top w:val="single" w:sz="8" w:space="0" w:color="auto"/>
              <w:left w:val="nil"/>
              <w:bottom w:val="single" w:sz="8" w:space="0" w:color="auto"/>
              <w:right w:val="single" w:sz="8" w:space="0" w:color="auto"/>
            </w:tcBorders>
            <w:shd w:val="clear" w:color="auto" w:fill="auto"/>
            <w:noWrap/>
            <w:vAlign w:val="center"/>
            <w:hideMark/>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Iznos</w:t>
            </w:r>
          </w:p>
        </w:tc>
      </w:tr>
      <w:tr w:rsidR="007A292F" w:rsidRPr="007A292F" w:rsidTr="007A1C80">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63941</w:t>
            </w:r>
          </w:p>
        </w:tc>
        <w:tc>
          <w:tcPr>
            <w:tcW w:w="6091"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Kapitalni prijenosi između proračunskih korisnika istog proračuna temeljem prijenosa EU sredstava</w:t>
            </w:r>
          </w:p>
        </w:tc>
        <w:tc>
          <w:tcPr>
            <w:tcW w:w="1128"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394.878</w:t>
            </w:r>
          </w:p>
        </w:tc>
      </w:tr>
      <w:tr w:rsidR="007A292F" w:rsidRPr="007A292F" w:rsidTr="007A1C80">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66321</w:t>
            </w:r>
          </w:p>
        </w:tc>
        <w:tc>
          <w:tcPr>
            <w:tcW w:w="6091"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Kapitalne donacije od fizičkih osoba</w:t>
            </w:r>
          </w:p>
        </w:tc>
        <w:tc>
          <w:tcPr>
            <w:tcW w:w="1128"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141.400</w:t>
            </w:r>
          </w:p>
        </w:tc>
      </w:tr>
      <w:tr w:rsidR="007A292F" w:rsidRPr="007A292F" w:rsidTr="007A1C80">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66322</w:t>
            </w:r>
          </w:p>
        </w:tc>
        <w:tc>
          <w:tcPr>
            <w:tcW w:w="6091"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Kapitalne donacije od neprofitnih organizacija</w:t>
            </w:r>
          </w:p>
        </w:tc>
        <w:tc>
          <w:tcPr>
            <w:tcW w:w="1128"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214.108</w:t>
            </w:r>
          </w:p>
        </w:tc>
      </w:tr>
      <w:tr w:rsidR="007A292F" w:rsidRPr="007A292F" w:rsidTr="007A1C80">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66323</w:t>
            </w:r>
          </w:p>
        </w:tc>
        <w:tc>
          <w:tcPr>
            <w:tcW w:w="6091"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Kapitalne donacije od trgovačkih društava</w:t>
            </w:r>
          </w:p>
        </w:tc>
        <w:tc>
          <w:tcPr>
            <w:tcW w:w="1128"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4.705.116</w:t>
            </w:r>
          </w:p>
        </w:tc>
      </w:tr>
      <w:tr w:rsidR="007A292F" w:rsidRPr="007A292F" w:rsidTr="007A1C80">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6712100</w:t>
            </w:r>
          </w:p>
        </w:tc>
        <w:tc>
          <w:tcPr>
            <w:tcW w:w="6091"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Prihodi iz nadležnog proračuna za financiranje rashoda za nabavu nefinancijske imovine</w:t>
            </w:r>
          </w:p>
        </w:tc>
        <w:tc>
          <w:tcPr>
            <w:tcW w:w="1128"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30.280.039</w:t>
            </w:r>
          </w:p>
        </w:tc>
      </w:tr>
      <w:tr w:rsidR="007A292F" w:rsidRPr="007A292F" w:rsidTr="007A1C80">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671210815</w:t>
            </w:r>
          </w:p>
        </w:tc>
        <w:tc>
          <w:tcPr>
            <w:tcW w:w="6091"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Prihodi iz nadležnog proračuna za financiranje rashoda za nabavu nefinancijske imovine – izvor 815</w:t>
            </w:r>
          </w:p>
        </w:tc>
        <w:tc>
          <w:tcPr>
            <w:tcW w:w="1128" w:type="dxa"/>
            <w:tcBorders>
              <w:top w:val="nil"/>
              <w:left w:val="nil"/>
              <w:bottom w:val="single" w:sz="8" w:space="0" w:color="auto"/>
              <w:right w:val="single" w:sz="8" w:space="0" w:color="auto"/>
            </w:tcBorders>
            <w:shd w:val="clear" w:color="auto" w:fill="auto"/>
            <w:noWrap/>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32.155.181</w:t>
            </w:r>
          </w:p>
        </w:tc>
      </w:tr>
      <w:tr w:rsidR="007A292F" w:rsidRPr="007A292F" w:rsidTr="007A1C80">
        <w:trPr>
          <w:trHeight w:val="315"/>
          <w:jc w:val="center"/>
        </w:trPr>
        <w:tc>
          <w:tcPr>
            <w:tcW w:w="73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Ukupno</w:t>
            </w:r>
          </w:p>
        </w:tc>
        <w:tc>
          <w:tcPr>
            <w:tcW w:w="1128" w:type="dxa"/>
            <w:tcBorders>
              <w:top w:val="nil"/>
              <w:left w:val="nil"/>
              <w:bottom w:val="single" w:sz="8" w:space="0" w:color="auto"/>
              <w:right w:val="single" w:sz="8" w:space="0" w:color="auto"/>
            </w:tcBorders>
            <w:shd w:val="clear" w:color="auto" w:fill="auto"/>
            <w:noWrap/>
            <w:vAlign w:val="center"/>
            <w:hideMark/>
          </w:tcPr>
          <w:p w:rsidR="007A292F" w:rsidRPr="00346BB9" w:rsidRDefault="007A292F" w:rsidP="007A1C80">
            <w:pPr>
              <w:jc w:val="center"/>
              <w:rPr>
                <w:rFonts w:ascii="Tahoma" w:hAnsi="Tahoma" w:cs="Tahoma"/>
                <w:color w:val="000000"/>
                <w:sz w:val="20"/>
                <w:szCs w:val="20"/>
              </w:rPr>
            </w:pPr>
            <w:r w:rsidRPr="00346BB9">
              <w:rPr>
                <w:rFonts w:ascii="Tahoma" w:hAnsi="Tahoma" w:cs="Tahoma"/>
                <w:color w:val="000000"/>
                <w:sz w:val="20"/>
                <w:szCs w:val="20"/>
              </w:rPr>
              <w:t>67.890.722</w:t>
            </w:r>
          </w:p>
        </w:tc>
      </w:tr>
    </w:tbl>
    <w:p w:rsidR="007A292F" w:rsidRPr="007A292F" w:rsidRDefault="007A292F" w:rsidP="007A292F">
      <w:pPr>
        <w:pStyle w:val="PlainText"/>
        <w:rPr>
          <w:rFonts w:ascii="Tahoma" w:hAnsi="Tahoma" w:cs="Tahoma"/>
          <w:sz w:val="22"/>
          <w:szCs w:val="22"/>
        </w:rPr>
      </w:pPr>
    </w:p>
    <w:p w:rsidR="007A292F" w:rsidRPr="007A292F" w:rsidRDefault="007A292F" w:rsidP="007A292F">
      <w:pPr>
        <w:pStyle w:val="PlainText"/>
        <w:rPr>
          <w:rFonts w:ascii="Tahoma" w:hAnsi="Tahoma" w:cs="Tahoma"/>
          <w:sz w:val="22"/>
          <w:szCs w:val="22"/>
        </w:rPr>
      </w:pPr>
      <w:r w:rsidRPr="007A292F">
        <w:rPr>
          <w:rFonts w:ascii="Tahoma" w:hAnsi="Tahoma" w:cs="Tahoma"/>
          <w:sz w:val="22"/>
          <w:szCs w:val="22"/>
        </w:rPr>
        <w:t>Provedena je korekcija rezultata na način da se za iznos od 67.890.822 EUR zadužuje račun viška prihoda poslovanja, a odobrava račun manjka prihoda od nefinancijske imovine.</w:t>
      </w:r>
    </w:p>
    <w:p w:rsidR="007A292F" w:rsidRPr="007A292F" w:rsidRDefault="007A292F" w:rsidP="007A292F">
      <w:pPr>
        <w:pStyle w:val="PlainText"/>
        <w:jc w:val="both"/>
        <w:rPr>
          <w:rFonts w:ascii="Tahoma" w:hAnsi="Tahoma" w:cs="Tahoma"/>
          <w:sz w:val="22"/>
          <w:szCs w:val="22"/>
        </w:rPr>
      </w:pPr>
    </w:p>
    <w:p w:rsidR="007A292F" w:rsidRPr="007A292F" w:rsidRDefault="007A292F" w:rsidP="007A292F">
      <w:pPr>
        <w:jc w:val="both"/>
        <w:rPr>
          <w:rFonts w:ascii="Tahoma" w:hAnsi="Tahoma" w:cs="Tahoma"/>
          <w:sz w:val="22"/>
          <w:szCs w:val="22"/>
        </w:rPr>
      </w:pPr>
      <w:proofErr w:type="spellStart"/>
      <w:r w:rsidRPr="007A292F">
        <w:rPr>
          <w:rFonts w:ascii="Tahoma" w:hAnsi="Tahoma" w:cs="Tahoma"/>
          <w:b/>
          <w:sz w:val="22"/>
          <w:szCs w:val="22"/>
          <w:u w:val="single"/>
        </w:rPr>
        <w:lastRenderedPageBreak/>
        <w:t>Izvanbilančni</w:t>
      </w:r>
      <w:proofErr w:type="spellEnd"/>
      <w:r w:rsidRPr="007A292F">
        <w:rPr>
          <w:rFonts w:ascii="Tahoma" w:hAnsi="Tahoma" w:cs="Tahoma"/>
          <w:b/>
          <w:sz w:val="22"/>
          <w:szCs w:val="22"/>
          <w:u w:val="single"/>
        </w:rPr>
        <w:t xml:space="preserve"> zapisi (Šifre 991/996)</w:t>
      </w:r>
      <w:r w:rsidRPr="007A292F">
        <w:rPr>
          <w:rFonts w:ascii="Tahoma" w:hAnsi="Tahoma" w:cs="Tahoma"/>
          <w:b/>
          <w:sz w:val="22"/>
          <w:szCs w:val="22"/>
        </w:rPr>
        <w:t xml:space="preserve"> </w:t>
      </w:r>
      <w:r w:rsidRPr="007A292F">
        <w:rPr>
          <w:rFonts w:ascii="Tahoma" w:hAnsi="Tahoma" w:cs="Tahoma"/>
          <w:sz w:val="22"/>
          <w:szCs w:val="22"/>
        </w:rPr>
        <w:t>na dan 31. prosinca 2024. godine iskazani su u iznosu od 123.707.086 EUR što je za 2,4% više u odnosu na isti datum 2023. godine.</w:t>
      </w:r>
    </w:p>
    <w:p w:rsidR="007A292F" w:rsidRDefault="007A292F" w:rsidP="007A292F">
      <w:pPr>
        <w:jc w:val="both"/>
        <w:rPr>
          <w:rFonts w:ascii="Tahoma" w:hAnsi="Tahoma" w:cs="Tahoma"/>
          <w:sz w:val="22"/>
          <w:szCs w:val="22"/>
        </w:rPr>
      </w:pPr>
      <w:proofErr w:type="spellStart"/>
      <w:r w:rsidRPr="007A292F">
        <w:rPr>
          <w:rFonts w:ascii="Tahoma" w:hAnsi="Tahoma" w:cs="Tahoma"/>
          <w:sz w:val="22"/>
          <w:szCs w:val="22"/>
        </w:rPr>
        <w:t>Izvanbilančni</w:t>
      </w:r>
      <w:proofErr w:type="spellEnd"/>
      <w:r w:rsidRPr="007A292F">
        <w:rPr>
          <w:rFonts w:ascii="Tahoma" w:hAnsi="Tahoma" w:cs="Tahoma"/>
          <w:sz w:val="22"/>
          <w:szCs w:val="22"/>
        </w:rPr>
        <w:t xml:space="preserve"> zapisi odnose se na potencijalne obveze po sudskim sporovima (71.162.1</w:t>
      </w:r>
      <w:r w:rsidR="00CB244E">
        <w:rPr>
          <w:rFonts w:ascii="Tahoma" w:hAnsi="Tahoma" w:cs="Tahoma"/>
          <w:sz w:val="22"/>
          <w:szCs w:val="22"/>
        </w:rPr>
        <w:t>02 EUR), bankarske garancije i z</w:t>
      </w:r>
      <w:r w:rsidRPr="007A292F">
        <w:rPr>
          <w:rFonts w:ascii="Tahoma" w:hAnsi="Tahoma" w:cs="Tahoma"/>
          <w:sz w:val="22"/>
          <w:szCs w:val="22"/>
        </w:rPr>
        <w:t>adužnice (34.628.000 EUR) te tuđu imovinu dobivenu</w:t>
      </w:r>
      <w:r w:rsidR="00CB244E">
        <w:rPr>
          <w:rFonts w:ascii="Tahoma" w:hAnsi="Tahoma" w:cs="Tahoma"/>
          <w:sz w:val="22"/>
          <w:szCs w:val="22"/>
        </w:rPr>
        <w:t xml:space="preserve"> na korištenje (17.916.984 EUR)</w:t>
      </w:r>
      <w:r w:rsidR="00541CA3">
        <w:rPr>
          <w:rFonts w:ascii="Tahoma" w:hAnsi="Tahoma" w:cs="Tahoma"/>
          <w:sz w:val="22"/>
          <w:szCs w:val="22"/>
        </w:rPr>
        <w:t>.</w:t>
      </w:r>
    </w:p>
    <w:p w:rsidR="00541CA3" w:rsidRDefault="00541CA3" w:rsidP="007A292F">
      <w:pPr>
        <w:jc w:val="both"/>
        <w:rPr>
          <w:rFonts w:ascii="Tahoma" w:hAnsi="Tahoma" w:cs="Tahoma"/>
          <w:sz w:val="22"/>
          <w:szCs w:val="22"/>
        </w:rPr>
      </w:pPr>
    </w:p>
    <w:p w:rsidR="00BE1967" w:rsidRPr="007A292F" w:rsidRDefault="00BE1967" w:rsidP="00541CA3">
      <w:pPr>
        <w:pStyle w:val="PlainText"/>
        <w:jc w:val="both"/>
        <w:rPr>
          <w:rFonts w:ascii="Tahoma" w:hAnsi="Tahoma" w:cs="Tahoma"/>
          <w:sz w:val="22"/>
          <w:szCs w:val="22"/>
        </w:rPr>
      </w:pPr>
    </w:p>
    <w:p w:rsidR="007A292F" w:rsidRDefault="007A292F" w:rsidP="000B6089">
      <w:pPr>
        <w:jc w:val="both"/>
        <w:rPr>
          <w:rFonts w:ascii="Tahoma" w:hAnsi="Tahoma" w:cs="Tahoma"/>
          <w:sz w:val="22"/>
          <w:szCs w:val="22"/>
        </w:rPr>
      </w:pPr>
    </w:p>
    <w:p w:rsidR="00634D1A" w:rsidRPr="00634D1A" w:rsidRDefault="00634D1A" w:rsidP="00634D1A">
      <w:pPr>
        <w:pStyle w:val="Heading2"/>
        <w:numPr>
          <w:ilvl w:val="0"/>
          <w:numId w:val="7"/>
        </w:numPr>
        <w:ind w:left="709" w:hanging="709"/>
        <w:jc w:val="left"/>
        <w:rPr>
          <w:rFonts w:ascii="Tahoma" w:hAnsi="Tahoma" w:cs="Tahoma"/>
          <w:sz w:val="22"/>
          <w:szCs w:val="22"/>
        </w:rPr>
      </w:pPr>
      <w:r w:rsidRPr="00634D1A">
        <w:rPr>
          <w:rFonts w:ascii="Tahoma" w:hAnsi="Tahoma" w:cs="Tahoma"/>
          <w:sz w:val="22"/>
          <w:szCs w:val="22"/>
        </w:rPr>
        <w:t>IZVJEŠTAJ O PROMJENAMA U VRIJEDNOSTI I OBUJMU IMOVINE I OBVEZA ZA RAZDOBLJE OD 1. SIJEČNJA DO 31. PROSINCA 2024. GODINE</w:t>
      </w:r>
    </w:p>
    <w:p w:rsidR="00634D1A" w:rsidRPr="00634D1A" w:rsidRDefault="00634D1A" w:rsidP="00634D1A"/>
    <w:p w:rsidR="00634D1A" w:rsidRPr="00634D1A" w:rsidRDefault="00634D1A" w:rsidP="00634D1A">
      <w:pPr>
        <w:jc w:val="both"/>
        <w:rPr>
          <w:rFonts w:ascii="Tahoma" w:hAnsi="Tahoma" w:cs="Tahoma"/>
          <w:sz w:val="22"/>
          <w:szCs w:val="22"/>
        </w:rPr>
      </w:pPr>
      <w:r w:rsidRPr="00634D1A">
        <w:rPr>
          <w:rFonts w:ascii="Tahoma" w:hAnsi="Tahoma" w:cs="Tahoma"/>
          <w:sz w:val="22"/>
          <w:szCs w:val="22"/>
        </w:rPr>
        <w:t xml:space="preserve">Bilješke uz obrazac Izvještaj o promjenama u vrijednosti i obujmu imovine i obveza za razdoblje </w:t>
      </w:r>
      <w:r w:rsidR="00EE1F7C">
        <w:rPr>
          <w:rFonts w:ascii="Tahoma" w:hAnsi="Tahoma" w:cs="Tahoma"/>
          <w:sz w:val="22"/>
          <w:szCs w:val="22"/>
        </w:rPr>
        <w:t xml:space="preserve">od 1. siječnja do 31. prosinca </w:t>
      </w:r>
      <w:r w:rsidRPr="00634D1A">
        <w:rPr>
          <w:rFonts w:ascii="Tahoma" w:hAnsi="Tahoma" w:cs="Tahoma"/>
          <w:sz w:val="22"/>
          <w:szCs w:val="22"/>
        </w:rPr>
        <w:t>2024. godine izrađene su sukladno Pravilniku o financijskom izvještavanju u proračunskom računovodstvu (NN 37/22) kao sastavni dio financijskog izvještaja za predmetno razdoblje.</w:t>
      </w:r>
    </w:p>
    <w:p w:rsidR="00634D1A" w:rsidRPr="00634D1A" w:rsidRDefault="00634D1A" w:rsidP="00634D1A">
      <w:pPr>
        <w:pStyle w:val="PlainText"/>
        <w:rPr>
          <w:rFonts w:ascii="Tahoma" w:hAnsi="Tahoma" w:cs="Tahoma"/>
          <w:b/>
          <w:sz w:val="22"/>
          <w:szCs w:val="22"/>
        </w:rPr>
      </w:pPr>
    </w:p>
    <w:p w:rsidR="00634D1A" w:rsidRPr="00634D1A" w:rsidRDefault="00634D1A" w:rsidP="00634D1A">
      <w:pPr>
        <w:pStyle w:val="PlainText"/>
        <w:rPr>
          <w:rFonts w:ascii="Tahoma" w:hAnsi="Tahoma" w:cs="Tahoma"/>
          <w:sz w:val="22"/>
          <w:szCs w:val="22"/>
        </w:rPr>
      </w:pPr>
      <w:r w:rsidRPr="00634D1A">
        <w:rPr>
          <w:rFonts w:ascii="Tahoma" w:hAnsi="Tahoma" w:cs="Tahoma"/>
          <w:b/>
          <w:sz w:val="22"/>
          <w:szCs w:val="22"/>
          <w:u w:val="single"/>
        </w:rPr>
        <w:t>Promjene u vrijednosti (revalorizacija) imovine (Račun 91511 – Šifra P003)</w:t>
      </w:r>
      <w:r w:rsidRPr="00634D1A">
        <w:rPr>
          <w:rFonts w:ascii="Tahoma" w:hAnsi="Tahoma" w:cs="Tahoma"/>
          <w:sz w:val="22"/>
          <w:szCs w:val="22"/>
        </w:rPr>
        <w:t xml:space="preserve"> za razdoblje </w:t>
      </w:r>
      <w:r w:rsidR="001F0EDD">
        <w:rPr>
          <w:rFonts w:ascii="Tahoma" w:hAnsi="Tahoma" w:cs="Tahoma"/>
          <w:sz w:val="22"/>
          <w:szCs w:val="22"/>
        </w:rPr>
        <w:t xml:space="preserve">od 1. siječnja do 31. prosinca </w:t>
      </w:r>
      <w:r w:rsidRPr="00634D1A">
        <w:rPr>
          <w:rFonts w:ascii="Tahoma" w:hAnsi="Tahoma" w:cs="Tahoma"/>
          <w:sz w:val="22"/>
          <w:szCs w:val="22"/>
        </w:rPr>
        <w:t>2024. godine iskazane su na poziciji smanjenje u iznosu od 369.774 EUR.</w:t>
      </w:r>
    </w:p>
    <w:p w:rsidR="00634D1A" w:rsidRPr="00634D1A" w:rsidRDefault="00634D1A" w:rsidP="00634D1A">
      <w:pPr>
        <w:pStyle w:val="PlainText"/>
        <w:jc w:val="both"/>
        <w:rPr>
          <w:rFonts w:ascii="Tahoma" w:hAnsi="Tahoma" w:cs="Tahoma"/>
          <w:sz w:val="22"/>
          <w:szCs w:val="22"/>
        </w:rPr>
      </w:pPr>
      <w:r w:rsidRPr="00634D1A">
        <w:rPr>
          <w:rFonts w:ascii="Tahoma" w:hAnsi="Tahoma" w:cs="Tahoma"/>
          <w:sz w:val="22"/>
          <w:szCs w:val="22"/>
        </w:rPr>
        <w:t xml:space="preserve">Smanjenje se odnosi na otpis proizvedene dugotrajne imovine koja nije za upotrebu. </w:t>
      </w:r>
    </w:p>
    <w:p w:rsidR="00634D1A" w:rsidRPr="00634D1A" w:rsidRDefault="00634D1A" w:rsidP="00634D1A">
      <w:pPr>
        <w:pStyle w:val="PlainText"/>
        <w:jc w:val="both"/>
        <w:rPr>
          <w:rFonts w:ascii="Tahoma" w:hAnsi="Tahoma" w:cs="Tahoma"/>
          <w:sz w:val="22"/>
          <w:szCs w:val="22"/>
        </w:rPr>
      </w:pPr>
    </w:p>
    <w:p w:rsidR="00634D1A" w:rsidRPr="00634D1A" w:rsidRDefault="00634D1A" w:rsidP="00634D1A">
      <w:pPr>
        <w:pStyle w:val="PlainText"/>
        <w:rPr>
          <w:rFonts w:ascii="Tahoma" w:hAnsi="Tahoma" w:cs="Tahoma"/>
          <w:sz w:val="22"/>
          <w:szCs w:val="22"/>
        </w:rPr>
      </w:pPr>
      <w:r w:rsidRPr="00634D1A">
        <w:rPr>
          <w:rFonts w:ascii="Tahoma" w:hAnsi="Tahoma" w:cs="Tahoma"/>
          <w:b/>
          <w:sz w:val="22"/>
          <w:szCs w:val="22"/>
          <w:u w:val="single"/>
        </w:rPr>
        <w:t>Promjene u obujmu imovine (Račun 91512 – Šifra P022)</w:t>
      </w:r>
      <w:r w:rsidRPr="00634D1A">
        <w:rPr>
          <w:rFonts w:ascii="Tahoma" w:hAnsi="Tahoma" w:cs="Tahoma"/>
          <w:sz w:val="22"/>
          <w:szCs w:val="22"/>
        </w:rPr>
        <w:t xml:space="preserve"> za razdoblje </w:t>
      </w:r>
      <w:r w:rsidR="001F0EDD">
        <w:rPr>
          <w:rFonts w:ascii="Tahoma" w:hAnsi="Tahoma" w:cs="Tahoma"/>
          <w:sz w:val="22"/>
          <w:szCs w:val="22"/>
        </w:rPr>
        <w:t xml:space="preserve">od 1. siječnja do 31. prosinca </w:t>
      </w:r>
      <w:r w:rsidRPr="00634D1A">
        <w:rPr>
          <w:rFonts w:ascii="Tahoma" w:hAnsi="Tahoma" w:cs="Tahoma"/>
          <w:sz w:val="22"/>
          <w:szCs w:val="22"/>
        </w:rPr>
        <w:t>2024. godine iskazane su na poziciji povećanja u iznosu od 12.545 EUR i na poziciji smanjenja u iznosu od 4.455 EUR.</w:t>
      </w:r>
    </w:p>
    <w:p w:rsidR="00634D1A" w:rsidRPr="00634D1A" w:rsidRDefault="00634D1A" w:rsidP="00634D1A">
      <w:pPr>
        <w:pStyle w:val="PlainText"/>
        <w:rPr>
          <w:rFonts w:ascii="Tahoma" w:hAnsi="Tahoma" w:cs="Tahoma"/>
          <w:sz w:val="22"/>
          <w:szCs w:val="22"/>
        </w:rPr>
      </w:pPr>
    </w:p>
    <w:p w:rsidR="00634D1A" w:rsidRDefault="00634D1A" w:rsidP="00634D1A">
      <w:pPr>
        <w:pStyle w:val="PlainText"/>
        <w:jc w:val="both"/>
        <w:rPr>
          <w:rFonts w:ascii="Tahoma" w:hAnsi="Tahoma" w:cs="Tahoma"/>
          <w:sz w:val="22"/>
          <w:szCs w:val="22"/>
        </w:rPr>
      </w:pPr>
      <w:r w:rsidRPr="00634D1A">
        <w:rPr>
          <w:rFonts w:ascii="Tahoma" w:hAnsi="Tahoma" w:cs="Tahoma"/>
          <w:sz w:val="22"/>
          <w:szCs w:val="22"/>
        </w:rPr>
        <w:t>Promjena se odnosi na povećanje proizvedene kratkotrajne imovine u iznosu od 12.545 EUR na ime primljene pomoći u medicinskom potrošnom materijalu i smanjenje proizvedene kratkotrajne nefinancijske imovine u iznosu od 4.264 EUR na ime popisom utvrđenog manjka.</w:t>
      </w:r>
    </w:p>
    <w:p w:rsidR="00CA79B9" w:rsidRDefault="00CA79B9"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F1177E" w:rsidRDefault="00F1177E" w:rsidP="00634D1A">
      <w:pPr>
        <w:pStyle w:val="PlainText"/>
        <w:jc w:val="both"/>
        <w:rPr>
          <w:rFonts w:ascii="Tahoma" w:hAnsi="Tahoma" w:cs="Tahoma"/>
          <w:sz w:val="22"/>
          <w:szCs w:val="22"/>
        </w:rPr>
      </w:pPr>
    </w:p>
    <w:p w:rsidR="00F1177E" w:rsidRDefault="00F1177E" w:rsidP="00634D1A">
      <w:pPr>
        <w:pStyle w:val="PlainText"/>
        <w:jc w:val="both"/>
        <w:rPr>
          <w:rFonts w:ascii="Tahoma" w:hAnsi="Tahoma" w:cs="Tahoma"/>
          <w:sz w:val="22"/>
          <w:szCs w:val="22"/>
        </w:rPr>
      </w:pPr>
    </w:p>
    <w:p w:rsidR="00F1177E" w:rsidRDefault="00F1177E" w:rsidP="00634D1A">
      <w:pPr>
        <w:pStyle w:val="PlainText"/>
        <w:jc w:val="both"/>
        <w:rPr>
          <w:rFonts w:ascii="Tahoma" w:hAnsi="Tahoma" w:cs="Tahoma"/>
          <w:sz w:val="22"/>
          <w:szCs w:val="22"/>
        </w:rPr>
      </w:pPr>
    </w:p>
    <w:p w:rsidR="00F1177E" w:rsidRDefault="00F1177E" w:rsidP="00634D1A">
      <w:pPr>
        <w:pStyle w:val="PlainText"/>
        <w:jc w:val="both"/>
        <w:rPr>
          <w:rFonts w:ascii="Tahoma" w:hAnsi="Tahoma" w:cs="Tahoma"/>
          <w:sz w:val="22"/>
          <w:szCs w:val="22"/>
        </w:rPr>
      </w:pPr>
    </w:p>
    <w:p w:rsidR="00F1177E" w:rsidRDefault="00F1177E"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F1177E" w:rsidRDefault="00F1177E" w:rsidP="00634D1A">
      <w:pPr>
        <w:pStyle w:val="PlainText"/>
        <w:jc w:val="both"/>
        <w:rPr>
          <w:rFonts w:ascii="Tahoma" w:hAnsi="Tahoma" w:cs="Tahoma"/>
          <w:sz w:val="22"/>
          <w:szCs w:val="22"/>
        </w:rPr>
      </w:pPr>
      <w:bookmarkStart w:id="3" w:name="_GoBack"/>
      <w:bookmarkEnd w:id="3"/>
    </w:p>
    <w:p w:rsidR="00BE1967" w:rsidRDefault="00BE1967" w:rsidP="00634D1A">
      <w:pPr>
        <w:pStyle w:val="PlainText"/>
        <w:jc w:val="both"/>
        <w:rPr>
          <w:rFonts w:ascii="Tahoma" w:hAnsi="Tahoma" w:cs="Tahoma"/>
          <w:sz w:val="22"/>
          <w:szCs w:val="22"/>
        </w:rPr>
      </w:pPr>
    </w:p>
    <w:p w:rsidR="00BE1967" w:rsidRDefault="00BE1967" w:rsidP="00634D1A">
      <w:pPr>
        <w:pStyle w:val="PlainText"/>
        <w:jc w:val="both"/>
        <w:rPr>
          <w:rFonts w:ascii="Tahoma" w:hAnsi="Tahoma" w:cs="Tahoma"/>
          <w:sz w:val="22"/>
          <w:szCs w:val="22"/>
        </w:rPr>
      </w:pPr>
    </w:p>
    <w:p w:rsidR="00CA79B9" w:rsidRPr="00472BD3" w:rsidRDefault="00CA79B9" w:rsidP="00634D1A">
      <w:pPr>
        <w:pStyle w:val="PlainText"/>
        <w:jc w:val="both"/>
        <w:rPr>
          <w:rFonts w:ascii="Tahoma" w:hAnsi="Tahoma" w:cs="Tahoma"/>
          <w:sz w:val="22"/>
          <w:szCs w:val="22"/>
        </w:rPr>
      </w:pPr>
    </w:p>
    <w:p w:rsidR="007E1452" w:rsidRPr="00A2782A" w:rsidRDefault="007E1452" w:rsidP="007E1452">
      <w:pPr>
        <w:pStyle w:val="Heading2"/>
        <w:numPr>
          <w:ilvl w:val="0"/>
          <w:numId w:val="7"/>
        </w:numPr>
        <w:spacing w:line="276" w:lineRule="auto"/>
        <w:ind w:left="709" w:hanging="709"/>
        <w:jc w:val="left"/>
        <w:rPr>
          <w:rFonts w:ascii="Tahoma" w:hAnsi="Tahoma" w:cs="Tahoma"/>
          <w:sz w:val="22"/>
          <w:szCs w:val="22"/>
        </w:rPr>
      </w:pPr>
      <w:r w:rsidRPr="00A2782A">
        <w:rPr>
          <w:rFonts w:ascii="Tahoma" w:hAnsi="Tahoma" w:cs="Tahoma"/>
          <w:sz w:val="22"/>
          <w:szCs w:val="22"/>
        </w:rPr>
        <w:lastRenderedPageBreak/>
        <w:t xml:space="preserve">IZVJEŠTAJ O OBVEZAMA ZA </w:t>
      </w:r>
      <w:r>
        <w:rPr>
          <w:rFonts w:ascii="Tahoma" w:hAnsi="Tahoma" w:cs="Tahoma"/>
          <w:sz w:val="22"/>
          <w:szCs w:val="22"/>
        </w:rPr>
        <w:t>RAZDOBLJE SIJEČANJ-PROSINAC 2024</w:t>
      </w:r>
      <w:r w:rsidRPr="00A2782A">
        <w:rPr>
          <w:rFonts w:ascii="Tahoma" w:hAnsi="Tahoma" w:cs="Tahoma"/>
          <w:sz w:val="22"/>
          <w:szCs w:val="22"/>
        </w:rPr>
        <w:t>. GODINE</w:t>
      </w:r>
    </w:p>
    <w:p w:rsidR="007E1452" w:rsidRPr="00A2782A" w:rsidRDefault="007E1452" w:rsidP="007E1452">
      <w:pPr>
        <w:pStyle w:val="PlainText"/>
        <w:spacing w:line="276" w:lineRule="auto"/>
        <w:rPr>
          <w:rFonts w:ascii="Tahoma" w:hAnsi="Tahoma" w:cs="Tahoma"/>
          <w:b/>
          <w:sz w:val="22"/>
          <w:szCs w:val="22"/>
          <w:u w:val="single"/>
        </w:rPr>
      </w:pPr>
    </w:p>
    <w:p w:rsidR="007E1452" w:rsidRPr="00A2782A" w:rsidRDefault="007E1452" w:rsidP="00837382">
      <w:pPr>
        <w:jc w:val="both"/>
        <w:rPr>
          <w:rFonts w:ascii="Tahoma" w:hAnsi="Tahoma" w:cs="Tahoma"/>
          <w:sz w:val="22"/>
          <w:szCs w:val="22"/>
        </w:rPr>
      </w:pPr>
      <w:r w:rsidRPr="00A2782A">
        <w:rPr>
          <w:rFonts w:ascii="Tahoma" w:hAnsi="Tahoma" w:cs="Tahoma"/>
          <w:sz w:val="22"/>
          <w:szCs w:val="22"/>
        </w:rPr>
        <w:t xml:space="preserve">Bilješke uz obrazac Izvještaj o obvezama za </w:t>
      </w:r>
      <w:r>
        <w:rPr>
          <w:rFonts w:ascii="Tahoma" w:hAnsi="Tahoma" w:cs="Tahoma"/>
          <w:sz w:val="22"/>
          <w:szCs w:val="22"/>
        </w:rPr>
        <w:t>razdoblje siječanj-prosinac 2024</w:t>
      </w:r>
      <w:r w:rsidRPr="00A2782A">
        <w:rPr>
          <w:rFonts w:ascii="Tahoma" w:hAnsi="Tahoma" w:cs="Tahoma"/>
          <w:sz w:val="22"/>
          <w:szCs w:val="22"/>
        </w:rPr>
        <w:t>. godine izrađene su sukladno Pravilniku o financijskom izvještavanju u proračunskom računovodstvu (NN 37/22) kao sastavni dio financijskog izvještaja za predmetno razdoblje.</w:t>
      </w:r>
    </w:p>
    <w:p w:rsidR="007E1452" w:rsidRPr="00A2782A" w:rsidRDefault="007E1452" w:rsidP="007E1452">
      <w:pPr>
        <w:spacing w:line="276" w:lineRule="auto"/>
        <w:jc w:val="both"/>
        <w:rPr>
          <w:rFonts w:ascii="Tahoma" w:hAnsi="Tahoma" w:cs="Tahoma"/>
          <w:sz w:val="22"/>
          <w:szCs w:val="22"/>
        </w:rPr>
      </w:pPr>
    </w:p>
    <w:p w:rsidR="007E1452" w:rsidRPr="00A2782A" w:rsidRDefault="007E1452" w:rsidP="007E1452">
      <w:pPr>
        <w:pStyle w:val="ListParagraph"/>
        <w:numPr>
          <w:ilvl w:val="0"/>
          <w:numId w:val="15"/>
        </w:numPr>
        <w:spacing w:line="276" w:lineRule="auto"/>
        <w:rPr>
          <w:rFonts w:ascii="Tahoma" w:hAnsi="Tahoma" w:cs="Tahoma"/>
          <w:b/>
          <w:sz w:val="22"/>
          <w:szCs w:val="22"/>
        </w:rPr>
      </w:pPr>
      <w:r w:rsidRPr="00A2782A">
        <w:rPr>
          <w:rFonts w:ascii="Tahoma" w:hAnsi="Tahoma" w:cs="Tahoma"/>
          <w:b/>
          <w:sz w:val="22"/>
          <w:szCs w:val="22"/>
        </w:rPr>
        <w:t>STANJE OBVEZA 1. SIJEČNJA (Šifra V001)</w:t>
      </w:r>
    </w:p>
    <w:p w:rsidR="007E1452" w:rsidRPr="00A2782A" w:rsidRDefault="007E1452" w:rsidP="007E1452">
      <w:pPr>
        <w:pStyle w:val="PlainText"/>
        <w:spacing w:line="276" w:lineRule="auto"/>
        <w:rPr>
          <w:rFonts w:ascii="Tahoma" w:hAnsi="Tahoma" w:cs="Tahoma"/>
          <w:b/>
          <w:sz w:val="22"/>
          <w:szCs w:val="22"/>
        </w:rPr>
      </w:pPr>
    </w:p>
    <w:p w:rsidR="007E1452" w:rsidRPr="00A2782A" w:rsidRDefault="007E1452" w:rsidP="00837382">
      <w:pPr>
        <w:pStyle w:val="PlainText"/>
        <w:jc w:val="both"/>
        <w:rPr>
          <w:rFonts w:ascii="Tahoma" w:eastAsia="Times New Roman" w:hAnsi="Tahoma" w:cs="Tahoma"/>
          <w:sz w:val="22"/>
          <w:szCs w:val="22"/>
        </w:rPr>
      </w:pPr>
      <w:r w:rsidRPr="00A2782A">
        <w:rPr>
          <w:rFonts w:ascii="Tahoma" w:eastAsia="Times New Roman" w:hAnsi="Tahoma" w:cs="Tahoma"/>
          <w:sz w:val="22"/>
          <w:szCs w:val="22"/>
        </w:rPr>
        <w:t>Stanje obveza na početku izvještajnog razdoblja</w:t>
      </w:r>
      <w:r>
        <w:rPr>
          <w:rFonts w:ascii="Tahoma" w:eastAsia="Times New Roman" w:hAnsi="Tahoma" w:cs="Tahoma"/>
          <w:sz w:val="22"/>
          <w:szCs w:val="22"/>
        </w:rPr>
        <w:t xml:space="preserve"> 01.01.2024.</w:t>
      </w:r>
      <w:r w:rsidRPr="00A2782A">
        <w:rPr>
          <w:rFonts w:ascii="Tahoma" w:eastAsia="Times New Roman" w:hAnsi="Tahoma" w:cs="Tahoma"/>
          <w:sz w:val="22"/>
          <w:szCs w:val="22"/>
        </w:rPr>
        <w:t xml:space="preserve"> </w:t>
      </w:r>
      <w:r>
        <w:rPr>
          <w:rFonts w:ascii="Tahoma" w:eastAsia="Times New Roman" w:hAnsi="Tahoma" w:cs="Tahoma"/>
          <w:sz w:val="22"/>
          <w:szCs w:val="22"/>
        </w:rPr>
        <w:t>iznosi 240.279.695</w:t>
      </w:r>
      <w:r w:rsidRPr="00A2782A">
        <w:rPr>
          <w:rFonts w:ascii="Tahoma" w:eastAsia="Times New Roman" w:hAnsi="Tahoma" w:cs="Tahoma"/>
          <w:sz w:val="22"/>
          <w:szCs w:val="22"/>
        </w:rPr>
        <w:t xml:space="preserve"> EUR </w:t>
      </w:r>
      <w:r>
        <w:rPr>
          <w:rFonts w:ascii="Tahoma" w:eastAsia="Times New Roman" w:hAnsi="Tahoma" w:cs="Tahoma"/>
          <w:sz w:val="22"/>
          <w:szCs w:val="22"/>
        </w:rPr>
        <w:t>što odgovara iznosu stanja obveza na datum 31.12.2023.</w:t>
      </w:r>
    </w:p>
    <w:p w:rsidR="007E1452" w:rsidRPr="00A2782A" w:rsidRDefault="007E1452" w:rsidP="007E1452">
      <w:pPr>
        <w:pStyle w:val="PlainText"/>
        <w:spacing w:line="276" w:lineRule="auto"/>
        <w:rPr>
          <w:rFonts w:ascii="Tahoma" w:eastAsia="Times New Roman" w:hAnsi="Tahoma" w:cs="Tahoma"/>
          <w:sz w:val="22"/>
          <w:szCs w:val="22"/>
        </w:rPr>
      </w:pPr>
    </w:p>
    <w:p w:rsidR="007E1452" w:rsidRPr="00A2782A" w:rsidRDefault="007E1452" w:rsidP="007E1452">
      <w:pPr>
        <w:pStyle w:val="PlainText"/>
        <w:numPr>
          <w:ilvl w:val="0"/>
          <w:numId w:val="15"/>
        </w:numPr>
        <w:spacing w:line="276" w:lineRule="auto"/>
        <w:rPr>
          <w:rFonts w:ascii="Tahoma" w:hAnsi="Tahoma" w:cs="Tahoma"/>
          <w:b/>
          <w:sz w:val="22"/>
          <w:szCs w:val="22"/>
        </w:rPr>
      </w:pPr>
      <w:r w:rsidRPr="00A2782A">
        <w:rPr>
          <w:rFonts w:ascii="Tahoma" w:hAnsi="Tahoma" w:cs="Tahoma"/>
          <w:b/>
          <w:sz w:val="22"/>
          <w:szCs w:val="22"/>
        </w:rPr>
        <w:t>STANJE OBVEZA NA KRAJU IZVJEŠTAJNOG RAZDOBLJA (Šifra V006)</w:t>
      </w:r>
    </w:p>
    <w:p w:rsidR="007E1452" w:rsidRPr="00A2782A" w:rsidRDefault="007E1452" w:rsidP="007E1452">
      <w:pPr>
        <w:pStyle w:val="PlainText"/>
        <w:spacing w:line="276" w:lineRule="auto"/>
        <w:rPr>
          <w:rFonts w:ascii="Tahoma" w:hAnsi="Tahoma" w:cs="Tahoma"/>
          <w:b/>
          <w:sz w:val="22"/>
          <w:szCs w:val="22"/>
        </w:rPr>
      </w:pPr>
    </w:p>
    <w:p w:rsidR="007E1452" w:rsidRDefault="007E1452" w:rsidP="00837382">
      <w:pPr>
        <w:pStyle w:val="PlainText"/>
        <w:jc w:val="both"/>
        <w:rPr>
          <w:rFonts w:ascii="Tahoma" w:hAnsi="Tahoma" w:cs="Tahoma"/>
          <w:sz w:val="22"/>
          <w:szCs w:val="22"/>
        </w:rPr>
      </w:pPr>
      <w:r w:rsidRPr="00A2782A">
        <w:rPr>
          <w:rFonts w:ascii="Tahoma" w:hAnsi="Tahoma" w:cs="Tahoma"/>
          <w:sz w:val="22"/>
          <w:szCs w:val="22"/>
        </w:rPr>
        <w:t>Stanje obveza na kraju izvještaj</w:t>
      </w:r>
      <w:r>
        <w:rPr>
          <w:rFonts w:ascii="Tahoma" w:hAnsi="Tahoma" w:cs="Tahoma"/>
          <w:sz w:val="22"/>
          <w:szCs w:val="22"/>
        </w:rPr>
        <w:t>nog razdoblja iznose 286.235.433 EUR. Povećanje</w:t>
      </w:r>
      <w:r w:rsidRPr="00A2782A">
        <w:rPr>
          <w:rFonts w:ascii="Tahoma" w:hAnsi="Tahoma" w:cs="Tahoma"/>
          <w:sz w:val="22"/>
          <w:szCs w:val="22"/>
        </w:rPr>
        <w:t xml:space="preserve"> obveza u odnosu na isto razdob</w:t>
      </w:r>
      <w:r>
        <w:rPr>
          <w:rFonts w:ascii="Tahoma" w:hAnsi="Tahoma" w:cs="Tahoma"/>
          <w:sz w:val="22"/>
          <w:szCs w:val="22"/>
        </w:rPr>
        <w:t>lje prethodne godine iznosi 19,13</w:t>
      </w:r>
      <w:r w:rsidRPr="00A2782A">
        <w:rPr>
          <w:rFonts w:ascii="Tahoma" w:hAnsi="Tahoma" w:cs="Tahoma"/>
          <w:sz w:val="22"/>
          <w:szCs w:val="22"/>
        </w:rPr>
        <w:t xml:space="preserve">% (obveze na kraju izvještajnog </w:t>
      </w:r>
      <w:r>
        <w:rPr>
          <w:rFonts w:ascii="Tahoma" w:hAnsi="Tahoma" w:cs="Tahoma"/>
          <w:sz w:val="22"/>
          <w:szCs w:val="22"/>
        </w:rPr>
        <w:t>razdoblja siječanj-prosinac 2023. godine iznosile su 240.</w:t>
      </w:r>
      <w:r>
        <w:rPr>
          <w:rFonts w:ascii="Tahoma" w:hAnsi="Tahoma" w:cs="Tahoma"/>
          <w:color w:val="000000"/>
          <w:sz w:val="22"/>
          <w:szCs w:val="22"/>
        </w:rPr>
        <w:t>279.695</w:t>
      </w:r>
      <w:r w:rsidRPr="00A2782A">
        <w:rPr>
          <w:rFonts w:ascii="Tahoma" w:hAnsi="Tahoma" w:cs="Tahoma"/>
          <w:sz w:val="22"/>
          <w:szCs w:val="22"/>
        </w:rPr>
        <w:t xml:space="preserve"> EUR). Struktura obveza na dan 3</w:t>
      </w:r>
      <w:r>
        <w:rPr>
          <w:rFonts w:ascii="Tahoma" w:hAnsi="Tahoma" w:cs="Tahoma"/>
          <w:sz w:val="22"/>
          <w:szCs w:val="22"/>
        </w:rPr>
        <w:t>1. prosinca 2024</w:t>
      </w:r>
      <w:r w:rsidRPr="00A2782A">
        <w:rPr>
          <w:rFonts w:ascii="Tahoma" w:hAnsi="Tahoma" w:cs="Tahoma"/>
          <w:sz w:val="22"/>
          <w:szCs w:val="22"/>
        </w:rPr>
        <w:t>. godine dana je kako slijedi:</w:t>
      </w:r>
    </w:p>
    <w:p w:rsidR="00837382" w:rsidRDefault="00837382" w:rsidP="00837382">
      <w:pPr>
        <w:pStyle w:val="PlainText"/>
        <w:jc w:val="both"/>
        <w:rPr>
          <w:rFonts w:ascii="Tahoma" w:hAnsi="Tahoma" w:cs="Tahoma"/>
          <w:sz w:val="22"/>
          <w:szCs w:val="22"/>
        </w:rPr>
      </w:pPr>
    </w:p>
    <w:p w:rsidR="007E1452" w:rsidRPr="00A2782A" w:rsidRDefault="007E1452" w:rsidP="007E1452">
      <w:pPr>
        <w:pStyle w:val="PlainText"/>
        <w:spacing w:line="276" w:lineRule="auto"/>
        <w:jc w:val="both"/>
        <w:rPr>
          <w:rFonts w:ascii="Tahoma" w:hAnsi="Tahoma" w:cs="Tahoma"/>
          <w:sz w:val="22"/>
          <w:szCs w:val="22"/>
        </w:rPr>
      </w:pPr>
    </w:p>
    <w:tbl>
      <w:tblPr>
        <w:tblW w:w="7661" w:type="dxa"/>
        <w:jc w:val="center"/>
        <w:tblLook w:val="04A0" w:firstRow="1" w:lastRow="0" w:firstColumn="1" w:lastColumn="0" w:noHBand="0" w:noVBand="1"/>
      </w:tblPr>
      <w:tblGrid>
        <w:gridCol w:w="5641"/>
        <w:gridCol w:w="2020"/>
      </w:tblGrid>
      <w:tr w:rsidR="007E1452" w:rsidRPr="00A2782A" w:rsidTr="007A1C80">
        <w:trPr>
          <w:trHeight w:val="495"/>
          <w:jc w:val="center"/>
        </w:trPr>
        <w:tc>
          <w:tcPr>
            <w:tcW w:w="564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E1452" w:rsidRPr="00A2782A" w:rsidRDefault="007E1452" w:rsidP="007A1C80">
            <w:pPr>
              <w:spacing w:line="276" w:lineRule="auto"/>
              <w:jc w:val="center"/>
              <w:rPr>
                <w:rFonts w:ascii="Tahoma" w:hAnsi="Tahoma" w:cs="Tahoma"/>
                <w:b/>
                <w:bCs/>
                <w:color w:val="000000"/>
                <w:sz w:val="18"/>
                <w:szCs w:val="18"/>
                <w:lang w:eastAsia="hr-HR"/>
              </w:rPr>
            </w:pPr>
            <w:r w:rsidRPr="00A2782A">
              <w:rPr>
                <w:rFonts w:ascii="Tahoma" w:hAnsi="Tahoma" w:cs="Tahoma"/>
                <w:b/>
                <w:bCs/>
                <w:color w:val="000000"/>
                <w:sz w:val="18"/>
                <w:szCs w:val="18"/>
              </w:rPr>
              <w:t>O P I S</w:t>
            </w:r>
          </w:p>
        </w:tc>
        <w:tc>
          <w:tcPr>
            <w:tcW w:w="2020" w:type="dxa"/>
            <w:tcBorders>
              <w:top w:val="single" w:sz="4" w:space="0" w:color="auto"/>
              <w:left w:val="nil"/>
              <w:bottom w:val="single" w:sz="8" w:space="0" w:color="auto"/>
              <w:right w:val="single" w:sz="4" w:space="0" w:color="auto"/>
            </w:tcBorders>
            <w:shd w:val="clear" w:color="auto" w:fill="auto"/>
            <w:vAlign w:val="center"/>
            <w:hideMark/>
          </w:tcPr>
          <w:p w:rsidR="007E1452" w:rsidRPr="00A2782A" w:rsidRDefault="007E1452" w:rsidP="007A1C80">
            <w:pPr>
              <w:spacing w:line="276" w:lineRule="auto"/>
              <w:jc w:val="center"/>
              <w:rPr>
                <w:rFonts w:ascii="Tahoma" w:hAnsi="Tahoma" w:cs="Tahoma"/>
                <w:b/>
                <w:bCs/>
                <w:sz w:val="18"/>
                <w:szCs w:val="18"/>
              </w:rPr>
            </w:pPr>
            <w:r>
              <w:rPr>
                <w:rFonts w:ascii="Tahoma" w:hAnsi="Tahoma" w:cs="Tahoma"/>
                <w:b/>
                <w:bCs/>
                <w:sz w:val="18"/>
                <w:szCs w:val="18"/>
              </w:rPr>
              <w:t>Ukupne obveze na dan 31.12.2024</w:t>
            </w:r>
            <w:r w:rsidRPr="00A2782A">
              <w:rPr>
                <w:rFonts w:ascii="Tahoma" w:hAnsi="Tahoma" w:cs="Tahoma"/>
                <w:b/>
                <w:bCs/>
                <w:sz w:val="18"/>
                <w:szCs w:val="18"/>
              </w:rPr>
              <w:t>.</w:t>
            </w:r>
          </w:p>
        </w:tc>
      </w:tr>
      <w:tr w:rsidR="007E1452" w:rsidRPr="00A2782A" w:rsidTr="007A1C80">
        <w:trPr>
          <w:trHeight w:val="300"/>
          <w:jc w:val="center"/>
        </w:trPr>
        <w:tc>
          <w:tcPr>
            <w:tcW w:w="5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Za lijekove</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rsidR="007E1452" w:rsidRPr="00837382" w:rsidRDefault="007E1452" w:rsidP="007A1C80">
            <w:pPr>
              <w:spacing w:line="276" w:lineRule="auto"/>
              <w:jc w:val="right"/>
              <w:rPr>
                <w:rFonts w:ascii="Tahoma" w:hAnsi="Tahoma" w:cs="Tahoma"/>
                <w:color w:val="000000"/>
                <w:sz w:val="20"/>
                <w:szCs w:val="18"/>
                <w:lang w:eastAsia="hr-HR"/>
              </w:rPr>
            </w:pPr>
            <w:r w:rsidRPr="00837382">
              <w:rPr>
                <w:rFonts w:ascii="Tahoma" w:hAnsi="Tahoma" w:cs="Tahoma"/>
                <w:color w:val="000000"/>
                <w:sz w:val="20"/>
                <w:szCs w:val="18"/>
              </w:rPr>
              <w:t>122.720.026</w:t>
            </w:r>
          </w:p>
        </w:tc>
      </w:tr>
      <w:tr w:rsidR="007E1452" w:rsidRPr="00A2782A" w:rsidTr="007A1C80">
        <w:trPr>
          <w:trHeight w:val="301"/>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Za sanitetski materijal, krvi i krvne derivate i sl.</w:t>
            </w:r>
          </w:p>
        </w:tc>
        <w:tc>
          <w:tcPr>
            <w:tcW w:w="2020" w:type="dxa"/>
            <w:tcBorders>
              <w:top w:val="nil"/>
              <w:left w:val="nil"/>
              <w:bottom w:val="single" w:sz="4" w:space="0" w:color="auto"/>
              <w:right w:val="single" w:sz="4" w:space="0" w:color="auto"/>
            </w:tcBorders>
            <w:shd w:val="clear" w:color="auto" w:fill="auto"/>
            <w:noWrap/>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47.890.193</w:t>
            </w:r>
          </w:p>
        </w:tc>
      </w:tr>
      <w:tr w:rsidR="007E1452" w:rsidRPr="00A2782A" w:rsidTr="007A1C80">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Za živežne namirnice</w:t>
            </w:r>
          </w:p>
        </w:tc>
        <w:tc>
          <w:tcPr>
            <w:tcW w:w="2020" w:type="dxa"/>
            <w:tcBorders>
              <w:top w:val="nil"/>
              <w:left w:val="nil"/>
              <w:bottom w:val="single" w:sz="4" w:space="0" w:color="auto"/>
              <w:right w:val="single" w:sz="4" w:space="0" w:color="auto"/>
            </w:tcBorders>
            <w:shd w:val="clear" w:color="auto" w:fill="auto"/>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242.929</w:t>
            </w:r>
          </w:p>
        </w:tc>
      </w:tr>
      <w:tr w:rsidR="007E1452" w:rsidRPr="00A2782A" w:rsidTr="007A1C80">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Za energiju</w:t>
            </w:r>
          </w:p>
        </w:tc>
        <w:tc>
          <w:tcPr>
            <w:tcW w:w="2020" w:type="dxa"/>
            <w:tcBorders>
              <w:top w:val="nil"/>
              <w:left w:val="nil"/>
              <w:bottom w:val="single" w:sz="4" w:space="0" w:color="auto"/>
              <w:right w:val="single" w:sz="4" w:space="0" w:color="auto"/>
            </w:tcBorders>
            <w:shd w:val="clear" w:color="auto" w:fill="auto"/>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1.060.959</w:t>
            </w:r>
          </w:p>
        </w:tc>
      </w:tr>
      <w:tr w:rsidR="007E1452" w:rsidRPr="00A2782A" w:rsidTr="007A1C80">
        <w:trPr>
          <w:trHeight w:val="33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Za ostale materijale i reprodukcijski  materijal</w:t>
            </w:r>
          </w:p>
        </w:tc>
        <w:tc>
          <w:tcPr>
            <w:tcW w:w="2020" w:type="dxa"/>
            <w:tcBorders>
              <w:top w:val="nil"/>
              <w:left w:val="nil"/>
              <w:bottom w:val="single" w:sz="4" w:space="0" w:color="auto"/>
              <w:right w:val="single" w:sz="4" w:space="0" w:color="auto"/>
            </w:tcBorders>
            <w:shd w:val="clear" w:color="auto" w:fill="auto"/>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230.873</w:t>
            </w:r>
          </w:p>
        </w:tc>
      </w:tr>
      <w:tr w:rsidR="007E1452" w:rsidRPr="00A2782A" w:rsidTr="007A1C80">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Za proizvodne i neproizvodne usluge</w:t>
            </w:r>
          </w:p>
        </w:tc>
        <w:tc>
          <w:tcPr>
            <w:tcW w:w="2020" w:type="dxa"/>
            <w:tcBorders>
              <w:top w:val="nil"/>
              <w:left w:val="nil"/>
              <w:bottom w:val="single" w:sz="4" w:space="0" w:color="auto"/>
              <w:right w:val="single" w:sz="4" w:space="0" w:color="auto"/>
            </w:tcBorders>
            <w:shd w:val="clear" w:color="auto" w:fill="auto"/>
            <w:noWrap/>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5.071.327</w:t>
            </w:r>
          </w:p>
        </w:tc>
      </w:tr>
      <w:tr w:rsidR="007E1452" w:rsidRPr="00A2782A" w:rsidTr="007A1C80">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Za opremu (osnovna sredstva)</w:t>
            </w:r>
          </w:p>
        </w:tc>
        <w:tc>
          <w:tcPr>
            <w:tcW w:w="2020" w:type="dxa"/>
            <w:tcBorders>
              <w:top w:val="nil"/>
              <w:left w:val="nil"/>
              <w:bottom w:val="single" w:sz="4" w:space="0" w:color="auto"/>
              <w:right w:val="single" w:sz="4" w:space="0" w:color="auto"/>
            </w:tcBorders>
            <w:shd w:val="clear" w:color="auto" w:fill="auto"/>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13.608.457</w:t>
            </w:r>
          </w:p>
        </w:tc>
      </w:tr>
      <w:tr w:rsidR="007E1452" w:rsidRPr="00A2782A" w:rsidTr="007A1C80">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Obveze prema zaposlenicima</w:t>
            </w:r>
          </w:p>
        </w:tc>
        <w:tc>
          <w:tcPr>
            <w:tcW w:w="2020" w:type="dxa"/>
            <w:tcBorders>
              <w:top w:val="nil"/>
              <w:left w:val="nil"/>
              <w:bottom w:val="single" w:sz="4" w:space="0" w:color="auto"/>
              <w:right w:val="single" w:sz="4" w:space="0" w:color="auto"/>
            </w:tcBorders>
            <w:shd w:val="clear" w:color="auto" w:fill="auto"/>
            <w:noWrap/>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19.631.818</w:t>
            </w:r>
          </w:p>
        </w:tc>
      </w:tr>
      <w:tr w:rsidR="007E1452" w:rsidRPr="00A2782A" w:rsidTr="007A1C80">
        <w:trPr>
          <w:trHeight w:val="308"/>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 xml:space="preserve">Obveze za usluge drugih zdravstvenih ustanova                                   </w:t>
            </w:r>
          </w:p>
        </w:tc>
        <w:tc>
          <w:tcPr>
            <w:tcW w:w="2020" w:type="dxa"/>
            <w:tcBorders>
              <w:top w:val="nil"/>
              <w:left w:val="nil"/>
              <w:bottom w:val="single" w:sz="4" w:space="0" w:color="auto"/>
              <w:right w:val="single" w:sz="4" w:space="0" w:color="auto"/>
            </w:tcBorders>
            <w:shd w:val="clear" w:color="auto" w:fill="auto"/>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1.434.020</w:t>
            </w:r>
          </w:p>
        </w:tc>
      </w:tr>
      <w:tr w:rsidR="007E1452" w:rsidRPr="00A2782A" w:rsidTr="007A1C80">
        <w:trPr>
          <w:trHeight w:val="344"/>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 xml:space="preserve">Obveze prema </w:t>
            </w:r>
            <w:proofErr w:type="spellStart"/>
            <w:r w:rsidRPr="00A2782A">
              <w:rPr>
                <w:rFonts w:ascii="Tahoma" w:hAnsi="Tahoma" w:cs="Tahoma"/>
                <w:color w:val="000000"/>
                <w:sz w:val="20"/>
                <w:szCs w:val="20"/>
              </w:rPr>
              <w:t>komitentnim</w:t>
            </w:r>
            <w:proofErr w:type="spellEnd"/>
            <w:r w:rsidRPr="00A2782A">
              <w:rPr>
                <w:rFonts w:ascii="Tahoma" w:hAnsi="Tahoma" w:cs="Tahoma"/>
                <w:color w:val="000000"/>
                <w:sz w:val="20"/>
                <w:szCs w:val="20"/>
              </w:rPr>
              <w:t xml:space="preserve"> bankama za kredite</w:t>
            </w:r>
          </w:p>
        </w:tc>
        <w:tc>
          <w:tcPr>
            <w:tcW w:w="2020" w:type="dxa"/>
            <w:tcBorders>
              <w:top w:val="nil"/>
              <w:left w:val="nil"/>
              <w:bottom w:val="single" w:sz="4" w:space="0" w:color="auto"/>
              <w:right w:val="single" w:sz="4" w:space="0" w:color="auto"/>
            </w:tcBorders>
            <w:shd w:val="clear" w:color="auto" w:fill="auto"/>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0,00</w:t>
            </w:r>
          </w:p>
        </w:tc>
      </w:tr>
      <w:tr w:rsidR="007E1452" w:rsidRPr="00A2782A" w:rsidTr="007A1C80">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color w:val="000000"/>
                <w:sz w:val="20"/>
                <w:szCs w:val="20"/>
              </w:rPr>
            </w:pPr>
            <w:r w:rsidRPr="00A2782A">
              <w:rPr>
                <w:rFonts w:ascii="Tahoma" w:hAnsi="Tahoma" w:cs="Tahoma"/>
                <w:color w:val="000000"/>
                <w:sz w:val="20"/>
                <w:szCs w:val="20"/>
              </w:rPr>
              <w:t>Ostale nespomenute obveze</w:t>
            </w:r>
          </w:p>
        </w:tc>
        <w:tc>
          <w:tcPr>
            <w:tcW w:w="2020" w:type="dxa"/>
            <w:tcBorders>
              <w:top w:val="nil"/>
              <w:left w:val="nil"/>
              <w:bottom w:val="single" w:sz="4" w:space="0" w:color="auto"/>
              <w:right w:val="single" w:sz="4" w:space="0" w:color="auto"/>
            </w:tcBorders>
            <w:shd w:val="clear" w:color="auto" w:fill="auto"/>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4.618.021</w:t>
            </w:r>
          </w:p>
        </w:tc>
      </w:tr>
      <w:tr w:rsidR="007E1452" w:rsidRPr="00A2782A" w:rsidTr="007A1C80">
        <w:trPr>
          <w:trHeight w:val="375"/>
          <w:jc w:val="center"/>
        </w:trPr>
        <w:tc>
          <w:tcPr>
            <w:tcW w:w="5641" w:type="dxa"/>
            <w:tcBorders>
              <w:top w:val="nil"/>
              <w:left w:val="single" w:sz="4" w:space="0" w:color="auto"/>
              <w:bottom w:val="single" w:sz="8"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sz w:val="20"/>
                <w:szCs w:val="20"/>
              </w:rPr>
            </w:pPr>
            <w:r w:rsidRPr="00A2782A">
              <w:rPr>
                <w:rFonts w:ascii="Tahoma" w:hAnsi="Tahoma" w:cs="Tahoma"/>
                <w:sz w:val="20"/>
                <w:szCs w:val="20"/>
              </w:rPr>
              <w:t>Obveze prema HZZO za manje izvršen rad</w:t>
            </w:r>
          </w:p>
        </w:tc>
        <w:tc>
          <w:tcPr>
            <w:tcW w:w="2020" w:type="dxa"/>
            <w:tcBorders>
              <w:top w:val="nil"/>
              <w:left w:val="nil"/>
              <w:bottom w:val="single" w:sz="8" w:space="0" w:color="auto"/>
              <w:right w:val="single" w:sz="4" w:space="0" w:color="auto"/>
            </w:tcBorders>
            <w:shd w:val="clear" w:color="auto" w:fill="auto"/>
            <w:vAlign w:val="bottom"/>
            <w:hideMark/>
          </w:tcPr>
          <w:p w:rsidR="007E1452" w:rsidRPr="00837382" w:rsidRDefault="007E1452" w:rsidP="007A1C80">
            <w:pPr>
              <w:spacing w:line="276" w:lineRule="auto"/>
              <w:jc w:val="right"/>
              <w:rPr>
                <w:rFonts w:ascii="Tahoma" w:hAnsi="Tahoma" w:cs="Tahoma"/>
                <w:color w:val="000000"/>
                <w:sz w:val="20"/>
                <w:szCs w:val="18"/>
              </w:rPr>
            </w:pPr>
            <w:r w:rsidRPr="00837382">
              <w:rPr>
                <w:rFonts w:ascii="Tahoma" w:hAnsi="Tahoma" w:cs="Tahoma"/>
                <w:color w:val="000000"/>
                <w:sz w:val="20"/>
                <w:szCs w:val="18"/>
              </w:rPr>
              <w:t>69.726.808</w:t>
            </w:r>
          </w:p>
        </w:tc>
      </w:tr>
      <w:tr w:rsidR="007E1452" w:rsidRPr="00A2782A" w:rsidTr="007A1C80">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7E1452" w:rsidRPr="00A2782A" w:rsidRDefault="007E1452" w:rsidP="007A1C80">
            <w:pPr>
              <w:spacing w:line="276" w:lineRule="auto"/>
              <w:rPr>
                <w:rFonts w:ascii="Tahoma" w:hAnsi="Tahoma" w:cs="Tahoma"/>
                <w:b/>
                <w:bCs/>
                <w:color w:val="000000"/>
                <w:sz w:val="20"/>
                <w:szCs w:val="20"/>
              </w:rPr>
            </w:pPr>
            <w:r w:rsidRPr="00A2782A">
              <w:rPr>
                <w:rFonts w:ascii="Tahoma" w:hAnsi="Tahoma" w:cs="Tahoma"/>
                <w:b/>
                <w:bCs/>
                <w:color w:val="000000"/>
                <w:sz w:val="20"/>
                <w:szCs w:val="20"/>
              </w:rPr>
              <w:t xml:space="preserve"> SVEUKUPNE OBVEZE</w:t>
            </w:r>
            <w:r w:rsidRPr="00A2782A">
              <w:rPr>
                <w:rFonts w:ascii="Tahoma" w:hAnsi="Tahoma" w:cs="Tahoma"/>
                <w:color w:val="000000"/>
                <w:sz w:val="20"/>
                <w:szCs w:val="20"/>
              </w:rPr>
              <w:t>:</w:t>
            </w:r>
          </w:p>
        </w:tc>
        <w:tc>
          <w:tcPr>
            <w:tcW w:w="2020" w:type="dxa"/>
            <w:tcBorders>
              <w:top w:val="nil"/>
              <w:left w:val="nil"/>
              <w:bottom w:val="single" w:sz="4" w:space="0" w:color="auto"/>
              <w:right w:val="single" w:sz="4" w:space="0" w:color="auto"/>
            </w:tcBorders>
            <w:shd w:val="clear" w:color="auto" w:fill="auto"/>
            <w:vAlign w:val="center"/>
            <w:hideMark/>
          </w:tcPr>
          <w:p w:rsidR="007E1452" w:rsidRPr="00A2782A" w:rsidRDefault="007E1452" w:rsidP="007A1C80">
            <w:pPr>
              <w:spacing w:line="276" w:lineRule="auto"/>
              <w:jc w:val="right"/>
              <w:rPr>
                <w:rFonts w:ascii="Tahoma" w:hAnsi="Tahoma" w:cs="Tahoma"/>
                <w:b/>
                <w:bCs/>
                <w:color w:val="000000"/>
                <w:sz w:val="18"/>
                <w:szCs w:val="18"/>
                <w:lang w:eastAsia="hr-HR"/>
              </w:rPr>
            </w:pPr>
            <w:r w:rsidRPr="00837382">
              <w:rPr>
                <w:rFonts w:ascii="Tahoma" w:hAnsi="Tahoma" w:cs="Tahoma"/>
                <w:b/>
                <w:bCs/>
                <w:color w:val="000000"/>
                <w:sz w:val="20"/>
                <w:szCs w:val="18"/>
              </w:rPr>
              <w:t>286.235.433</w:t>
            </w:r>
          </w:p>
        </w:tc>
      </w:tr>
    </w:tbl>
    <w:p w:rsidR="007E1452" w:rsidRPr="00A2782A" w:rsidRDefault="007E1452" w:rsidP="007E1452">
      <w:pPr>
        <w:pStyle w:val="PlainText"/>
        <w:spacing w:line="276" w:lineRule="auto"/>
        <w:rPr>
          <w:rFonts w:ascii="Tahoma" w:hAnsi="Tahoma" w:cs="Tahoma"/>
          <w:sz w:val="22"/>
          <w:szCs w:val="22"/>
        </w:rPr>
      </w:pPr>
    </w:p>
    <w:p w:rsidR="007E1452" w:rsidRPr="00A2782A" w:rsidRDefault="007E1452" w:rsidP="007E1452">
      <w:pPr>
        <w:pStyle w:val="PlainText"/>
        <w:spacing w:line="276" w:lineRule="auto"/>
        <w:rPr>
          <w:rFonts w:ascii="Tahoma" w:hAnsi="Tahoma" w:cs="Tahoma"/>
          <w:sz w:val="22"/>
          <w:szCs w:val="22"/>
        </w:rPr>
      </w:pPr>
    </w:p>
    <w:p w:rsidR="007E1452" w:rsidRPr="001D33C7" w:rsidRDefault="007E1452" w:rsidP="00837382">
      <w:pPr>
        <w:pStyle w:val="PlainText"/>
        <w:jc w:val="both"/>
        <w:rPr>
          <w:rFonts w:ascii="Tahoma" w:hAnsi="Tahoma" w:cs="Tahoma"/>
          <w:color w:val="0D0D0D" w:themeColor="text1" w:themeTint="F2"/>
          <w:sz w:val="22"/>
          <w:szCs w:val="22"/>
        </w:rPr>
      </w:pPr>
      <w:r w:rsidRPr="001D33C7">
        <w:rPr>
          <w:rFonts w:ascii="Tahoma" w:hAnsi="Tahoma" w:cs="Tahoma"/>
          <w:color w:val="0D0D0D" w:themeColor="text1" w:themeTint="F2"/>
          <w:sz w:val="22"/>
          <w:szCs w:val="22"/>
        </w:rPr>
        <w:t>Najveći dio obveza odnosi se na obveze za lijekove (122.720.026 EUR) i obveze za manje izvršeni ra</w:t>
      </w:r>
      <w:r w:rsidR="003D324D" w:rsidRPr="001D33C7">
        <w:rPr>
          <w:rFonts w:ascii="Tahoma" w:hAnsi="Tahoma" w:cs="Tahoma"/>
          <w:color w:val="0D0D0D" w:themeColor="text1" w:themeTint="F2"/>
          <w:sz w:val="22"/>
          <w:szCs w:val="22"/>
        </w:rPr>
        <w:t xml:space="preserve">d prema HZZO-u (69.726.808 EUR) koji se odnosi na dodatna uplaćena sredstva u razdoblju od 2020. godine do 2022. godine. </w:t>
      </w:r>
    </w:p>
    <w:p w:rsidR="00F53825" w:rsidRDefault="00F53825" w:rsidP="007E1452">
      <w:pPr>
        <w:pStyle w:val="PlainText"/>
        <w:spacing w:line="276" w:lineRule="auto"/>
        <w:jc w:val="both"/>
        <w:rPr>
          <w:rFonts w:ascii="Tahoma" w:hAnsi="Tahoma" w:cs="Tahoma"/>
          <w:sz w:val="22"/>
          <w:szCs w:val="22"/>
        </w:rPr>
      </w:pPr>
    </w:p>
    <w:p w:rsidR="003D324D" w:rsidRPr="00A2782A" w:rsidRDefault="003D324D" w:rsidP="007E1452">
      <w:pPr>
        <w:pStyle w:val="PlainText"/>
        <w:spacing w:line="276" w:lineRule="auto"/>
        <w:jc w:val="both"/>
        <w:rPr>
          <w:rFonts w:ascii="Tahoma" w:hAnsi="Tahoma" w:cs="Tahoma"/>
          <w:sz w:val="22"/>
          <w:szCs w:val="22"/>
        </w:rPr>
      </w:pPr>
    </w:p>
    <w:p w:rsidR="007E1452" w:rsidRPr="00A2782A" w:rsidRDefault="007E1452" w:rsidP="007E1452">
      <w:pPr>
        <w:pStyle w:val="PlainText"/>
        <w:numPr>
          <w:ilvl w:val="0"/>
          <w:numId w:val="15"/>
        </w:numPr>
        <w:spacing w:line="276" w:lineRule="auto"/>
        <w:rPr>
          <w:rFonts w:ascii="Tahoma" w:hAnsi="Tahoma" w:cs="Tahoma"/>
          <w:b/>
          <w:sz w:val="22"/>
          <w:szCs w:val="22"/>
        </w:rPr>
      </w:pPr>
      <w:r w:rsidRPr="00A2782A">
        <w:rPr>
          <w:rFonts w:ascii="Tahoma" w:hAnsi="Tahoma" w:cs="Tahoma"/>
          <w:b/>
          <w:sz w:val="22"/>
          <w:szCs w:val="22"/>
        </w:rPr>
        <w:t>STANJE DOSPJELIH OBVEZA NA KRAJU IZVJEŠTAJNOG RAZDOBLJA (Šifra V007)</w:t>
      </w:r>
    </w:p>
    <w:p w:rsidR="007E1452" w:rsidRPr="00A2782A" w:rsidRDefault="007E1452" w:rsidP="007E1452">
      <w:pPr>
        <w:pStyle w:val="PlainText"/>
        <w:spacing w:line="276" w:lineRule="auto"/>
        <w:rPr>
          <w:rFonts w:ascii="Tahoma" w:hAnsi="Tahoma" w:cs="Tahoma"/>
          <w:sz w:val="22"/>
          <w:szCs w:val="22"/>
        </w:rPr>
      </w:pPr>
    </w:p>
    <w:p w:rsidR="007E1452" w:rsidRPr="00A2782A" w:rsidRDefault="007E1452" w:rsidP="00D0441B">
      <w:pPr>
        <w:pStyle w:val="PlainText"/>
        <w:jc w:val="both"/>
        <w:rPr>
          <w:rFonts w:ascii="Tahoma" w:hAnsi="Tahoma" w:cs="Tahoma"/>
          <w:sz w:val="22"/>
          <w:szCs w:val="22"/>
        </w:rPr>
      </w:pPr>
      <w:r w:rsidRPr="00A2782A">
        <w:rPr>
          <w:rFonts w:ascii="Tahoma" w:hAnsi="Tahoma" w:cs="Tahoma"/>
          <w:sz w:val="22"/>
          <w:szCs w:val="22"/>
        </w:rPr>
        <w:t>Stanje dospjelih obveza na kraju izvješta</w:t>
      </w:r>
      <w:r>
        <w:rPr>
          <w:rFonts w:ascii="Tahoma" w:hAnsi="Tahoma" w:cs="Tahoma"/>
          <w:sz w:val="22"/>
          <w:szCs w:val="22"/>
        </w:rPr>
        <w:t>jnog razdoblja iznosi 115.317.131</w:t>
      </w:r>
      <w:r w:rsidRPr="00A2782A">
        <w:rPr>
          <w:rFonts w:ascii="Tahoma" w:hAnsi="Tahoma" w:cs="Tahoma"/>
          <w:sz w:val="22"/>
          <w:szCs w:val="22"/>
        </w:rPr>
        <w:t xml:space="preserve"> EUR. Povećanje dospjelih obveza u odnosu na isto razdo</w:t>
      </w:r>
      <w:r>
        <w:rPr>
          <w:rFonts w:ascii="Tahoma" w:hAnsi="Tahoma" w:cs="Tahoma"/>
          <w:sz w:val="22"/>
          <w:szCs w:val="22"/>
        </w:rPr>
        <w:t>blje prethodne godine iznosi 44,24</w:t>
      </w:r>
      <w:r w:rsidRPr="00A2782A">
        <w:rPr>
          <w:rFonts w:ascii="Tahoma" w:hAnsi="Tahoma" w:cs="Tahoma"/>
          <w:sz w:val="22"/>
          <w:szCs w:val="22"/>
        </w:rPr>
        <w:t xml:space="preserve">% (dospjele obveze na kraju izvještajnog </w:t>
      </w:r>
      <w:r>
        <w:rPr>
          <w:rFonts w:ascii="Tahoma" w:hAnsi="Tahoma" w:cs="Tahoma"/>
          <w:sz w:val="22"/>
          <w:szCs w:val="22"/>
        </w:rPr>
        <w:t>razdoblja siječanj-prosinac 2023. godine iznosile su 79.947.210</w:t>
      </w:r>
      <w:r w:rsidRPr="00A2782A">
        <w:rPr>
          <w:rFonts w:ascii="Tahoma" w:hAnsi="Tahoma" w:cs="Tahoma"/>
          <w:sz w:val="22"/>
          <w:szCs w:val="22"/>
        </w:rPr>
        <w:t xml:space="preserve"> EUR). Dospjele obveze odnose se na obveze za materijaln</w:t>
      </w:r>
      <w:r>
        <w:rPr>
          <w:rFonts w:ascii="Tahoma" w:hAnsi="Tahoma" w:cs="Tahoma"/>
          <w:sz w:val="22"/>
          <w:szCs w:val="22"/>
        </w:rPr>
        <w:t>e rashode u iznosu od 110.544.240</w:t>
      </w:r>
      <w:r w:rsidRPr="00A2782A">
        <w:rPr>
          <w:rFonts w:ascii="Tahoma" w:hAnsi="Tahoma" w:cs="Tahoma"/>
          <w:sz w:val="22"/>
          <w:szCs w:val="22"/>
        </w:rPr>
        <w:t xml:space="preserve"> EUR i obveze za nabavu nefinancijske imovine u iznosu od 4.610.522 EUR.</w:t>
      </w:r>
    </w:p>
    <w:p w:rsidR="007E1452" w:rsidRPr="00A2782A" w:rsidRDefault="007E1452" w:rsidP="00D0441B">
      <w:pPr>
        <w:pStyle w:val="PlainText"/>
        <w:jc w:val="both"/>
        <w:rPr>
          <w:rFonts w:ascii="Tahoma" w:hAnsi="Tahoma" w:cs="Tahoma"/>
          <w:sz w:val="22"/>
          <w:szCs w:val="22"/>
        </w:rPr>
      </w:pPr>
      <w:r w:rsidRPr="00A2782A">
        <w:rPr>
          <w:rFonts w:ascii="Tahoma" w:hAnsi="Tahoma" w:cs="Tahoma"/>
          <w:sz w:val="22"/>
          <w:szCs w:val="22"/>
        </w:rPr>
        <w:lastRenderedPageBreak/>
        <w:t>Od dospjelih obveza za materijalne rashode najveći dio odnosi se n</w:t>
      </w:r>
      <w:r>
        <w:rPr>
          <w:rFonts w:ascii="Tahoma" w:hAnsi="Tahoma" w:cs="Tahoma"/>
          <w:sz w:val="22"/>
          <w:szCs w:val="22"/>
        </w:rPr>
        <w:t>a obveze za lijekove (77.910.300</w:t>
      </w:r>
      <w:r w:rsidRPr="00A2782A">
        <w:rPr>
          <w:rFonts w:ascii="Tahoma" w:hAnsi="Tahoma" w:cs="Tahoma"/>
          <w:sz w:val="22"/>
          <w:szCs w:val="22"/>
        </w:rPr>
        <w:t xml:space="preserve"> EUR) i medicinsk</w:t>
      </w:r>
      <w:r>
        <w:rPr>
          <w:rFonts w:ascii="Tahoma" w:hAnsi="Tahoma" w:cs="Tahoma"/>
          <w:sz w:val="22"/>
          <w:szCs w:val="22"/>
        </w:rPr>
        <w:t>i potrošni materijal (31.647.503</w:t>
      </w:r>
      <w:r w:rsidRPr="00A2782A">
        <w:rPr>
          <w:rFonts w:ascii="Tahoma" w:hAnsi="Tahoma" w:cs="Tahoma"/>
          <w:sz w:val="22"/>
          <w:szCs w:val="22"/>
        </w:rPr>
        <w:t xml:space="preserve"> EUR) od kojih je struktura dospijeća dana kako slijedi:</w:t>
      </w:r>
    </w:p>
    <w:p w:rsidR="007E1452" w:rsidRPr="00A2782A" w:rsidRDefault="007E1452" w:rsidP="007E1452">
      <w:pPr>
        <w:pStyle w:val="PlainText"/>
        <w:spacing w:line="276" w:lineRule="auto"/>
        <w:rPr>
          <w:rFonts w:ascii="Tahoma" w:hAnsi="Tahoma" w:cs="Tahoma"/>
          <w:sz w:val="22"/>
          <w:szCs w:val="22"/>
        </w:rPr>
      </w:pPr>
    </w:p>
    <w:tbl>
      <w:tblPr>
        <w:tblpPr w:leftFromText="180" w:rightFromText="180" w:vertAnchor="text" w:horzAnchor="margin" w:tblpXSpec="center" w:tblpY="130"/>
        <w:tblW w:w="9668" w:type="dxa"/>
        <w:tblLook w:val="04A0" w:firstRow="1" w:lastRow="0" w:firstColumn="1" w:lastColumn="0" w:noHBand="0" w:noVBand="1"/>
      </w:tblPr>
      <w:tblGrid>
        <w:gridCol w:w="1361"/>
        <w:gridCol w:w="1468"/>
        <w:gridCol w:w="1468"/>
        <w:gridCol w:w="1368"/>
        <w:gridCol w:w="1368"/>
        <w:gridCol w:w="1368"/>
        <w:gridCol w:w="1267"/>
      </w:tblGrid>
      <w:tr w:rsidR="007E1452" w:rsidTr="007A1C80">
        <w:trPr>
          <w:trHeight w:val="765"/>
        </w:trPr>
        <w:tc>
          <w:tcPr>
            <w:tcW w:w="159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b/>
                <w:bCs/>
                <w:color w:val="000000"/>
                <w:sz w:val="18"/>
                <w:szCs w:val="18"/>
                <w:lang w:eastAsia="hr-HR"/>
              </w:rPr>
            </w:pPr>
            <w:r>
              <w:rPr>
                <w:rFonts w:ascii="Arial" w:hAnsi="Arial" w:cs="Arial"/>
                <w:b/>
                <w:bCs/>
                <w:color w:val="000000"/>
                <w:sz w:val="18"/>
                <w:szCs w:val="18"/>
              </w:rPr>
              <w:t>O P I S</w:t>
            </w:r>
          </w:p>
        </w:tc>
        <w:tc>
          <w:tcPr>
            <w:tcW w:w="1428" w:type="dxa"/>
            <w:tcBorders>
              <w:top w:val="single" w:sz="8" w:space="0" w:color="auto"/>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b/>
                <w:bCs/>
                <w:color w:val="000000"/>
                <w:sz w:val="18"/>
                <w:szCs w:val="18"/>
              </w:rPr>
            </w:pPr>
            <w:r>
              <w:rPr>
                <w:rFonts w:ascii="Arial" w:hAnsi="Arial" w:cs="Arial"/>
                <w:b/>
                <w:bCs/>
                <w:color w:val="000000"/>
                <w:sz w:val="18"/>
                <w:szCs w:val="18"/>
              </w:rPr>
              <w:t>Ukupne obveze na dan 31.12.2024</w:t>
            </w:r>
          </w:p>
        </w:tc>
        <w:tc>
          <w:tcPr>
            <w:tcW w:w="1428" w:type="dxa"/>
            <w:tcBorders>
              <w:top w:val="single" w:sz="8" w:space="0" w:color="auto"/>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b/>
                <w:bCs/>
                <w:color w:val="000000"/>
                <w:sz w:val="18"/>
                <w:szCs w:val="18"/>
              </w:rPr>
            </w:pPr>
            <w:r>
              <w:rPr>
                <w:rFonts w:ascii="Arial" w:hAnsi="Arial" w:cs="Arial"/>
                <w:b/>
                <w:bCs/>
                <w:color w:val="000000"/>
                <w:sz w:val="18"/>
                <w:szCs w:val="18"/>
              </w:rPr>
              <w:t>Ukupno dospjele obveze</w:t>
            </w:r>
          </w:p>
        </w:tc>
        <w:tc>
          <w:tcPr>
            <w:tcW w:w="1330" w:type="dxa"/>
            <w:tcBorders>
              <w:top w:val="single" w:sz="8" w:space="0" w:color="auto"/>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b/>
                <w:bCs/>
                <w:color w:val="000000"/>
                <w:sz w:val="18"/>
                <w:szCs w:val="18"/>
              </w:rPr>
            </w:pPr>
            <w:r>
              <w:rPr>
                <w:rFonts w:ascii="Arial" w:hAnsi="Arial" w:cs="Arial"/>
                <w:b/>
                <w:bCs/>
                <w:color w:val="000000"/>
                <w:sz w:val="18"/>
                <w:szCs w:val="18"/>
              </w:rPr>
              <w:t>Dospjele obveze do 60 dana</w:t>
            </w:r>
          </w:p>
        </w:tc>
        <w:tc>
          <w:tcPr>
            <w:tcW w:w="1330" w:type="dxa"/>
            <w:tcBorders>
              <w:top w:val="single" w:sz="8" w:space="0" w:color="auto"/>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b/>
                <w:bCs/>
                <w:color w:val="000000"/>
                <w:sz w:val="18"/>
                <w:szCs w:val="18"/>
              </w:rPr>
            </w:pPr>
            <w:r>
              <w:rPr>
                <w:rFonts w:ascii="Arial" w:hAnsi="Arial" w:cs="Arial"/>
                <w:b/>
                <w:bCs/>
                <w:color w:val="000000"/>
                <w:sz w:val="18"/>
                <w:szCs w:val="18"/>
              </w:rPr>
              <w:t>Dospjele obveze od 61 do 90 dana</w:t>
            </w:r>
          </w:p>
        </w:tc>
        <w:tc>
          <w:tcPr>
            <w:tcW w:w="1330" w:type="dxa"/>
            <w:tcBorders>
              <w:top w:val="single" w:sz="8" w:space="0" w:color="auto"/>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b/>
                <w:bCs/>
                <w:color w:val="000000"/>
                <w:sz w:val="18"/>
                <w:szCs w:val="18"/>
              </w:rPr>
            </w:pPr>
            <w:r>
              <w:rPr>
                <w:rFonts w:ascii="Arial" w:hAnsi="Arial" w:cs="Arial"/>
                <w:b/>
                <w:bCs/>
                <w:color w:val="000000"/>
                <w:sz w:val="18"/>
                <w:szCs w:val="18"/>
              </w:rPr>
              <w:t>Dospjele obveze od 91 do 120 dana</w:t>
            </w:r>
          </w:p>
        </w:tc>
        <w:tc>
          <w:tcPr>
            <w:tcW w:w="1232" w:type="dxa"/>
            <w:tcBorders>
              <w:top w:val="single" w:sz="8" w:space="0" w:color="auto"/>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b/>
                <w:bCs/>
                <w:color w:val="000000"/>
                <w:sz w:val="18"/>
                <w:szCs w:val="18"/>
              </w:rPr>
            </w:pPr>
            <w:r>
              <w:rPr>
                <w:rFonts w:ascii="Arial" w:hAnsi="Arial" w:cs="Arial"/>
                <w:b/>
                <w:bCs/>
                <w:color w:val="000000"/>
                <w:sz w:val="18"/>
                <w:szCs w:val="18"/>
              </w:rPr>
              <w:t>Dospjele obveze od 121 do 150 dana</w:t>
            </w:r>
          </w:p>
        </w:tc>
      </w:tr>
      <w:tr w:rsidR="007E1452" w:rsidTr="007A1C80">
        <w:trPr>
          <w:trHeight w:val="197"/>
        </w:trPr>
        <w:tc>
          <w:tcPr>
            <w:tcW w:w="1590" w:type="dxa"/>
            <w:tcBorders>
              <w:top w:val="nil"/>
              <w:left w:val="single" w:sz="8" w:space="0" w:color="auto"/>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color w:val="000000"/>
                <w:sz w:val="18"/>
                <w:szCs w:val="18"/>
              </w:rPr>
            </w:pPr>
            <w:r>
              <w:rPr>
                <w:rFonts w:ascii="Arial" w:hAnsi="Arial" w:cs="Arial"/>
                <w:color w:val="000000"/>
                <w:sz w:val="18"/>
                <w:szCs w:val="18"/>
              </w:rPr>
              <w:t>0</w:t>
            </w:r>
          </w:p>
        </w:tc>
        <w:tc>
          <w:tcPr>
            <w:tcW w:w="1428" w:type="dxa"/>
            <w:tcBorders>
              <w:top w:val="nil"/>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color w:val="000000"/>
                <w:sz w:val="18"/>
                <w:szCs w:val="18"/>
              </w:rPr>
            </w:pPr>
            <w:r>
              <w:rPr>
                <w:rFonts w:ascii="Arial" w:hAnsi="Arial" w:cs="Arial"/>
                <w:color w:val="000000"/>
                <w:sz w:val="18"/>
                <w:szCs w:val="18"/>
              </w:rPr>
              <w:t>1</w:t>
            </w:r>
          </w:p>
        </w:tc>
        <w:tc>
          <w:tcPr>
            <w:tcW w:w="1428" w:type="dxa"/>
            <w:tcBorders>
              <w:top w:val="nil"/>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color w:val="000000"/>
                <w:sz w:val="18"/>
                <w:szCs w:val="18"/>
              </w:rPr>
            </w:pPr>
            <w:r>
              <w:rPr>
                <w:rFonts w:ascii="Arial" w:hAnsi="Arial" w:cs="Arial"/>
                <w:color w:val="000000"/>
                <w:sz w:val="18"/>
                <w:szCs w:val="18"/>
              </w:rPr>
              <w:t>2</w:t>
            </w:r>
          </w:p>
        </w:tc>
        <w:tc>
          <w:tcPr>
            <w:tcW w:w="1330" w:type="dxa"/>
            <w:tcBorders>
              <w:top w:val="nil"/>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color w:val="000000"/>
                <w:sz w:val="18"/>
                <w:szCs w:val="18"/>
              </w:rPr>
            </w:pPr>
            <w:r>
              <w:rPr>
                <w:rFonts w:ascii="Arial" w:hAnsi="Arial" w:cs="Arial"/>
                <w:color w:val="000000"/>
                <w:sz w:val="18"/>
                <w:szCs w:val="18"/>
              </w:rPr>
              <w:t>3</w:t>
            </w:r>
          </w:p>
        </w:tc>
        <w:tc>
          <w:tcPr>
            <w:tcW w:w="1330" w:type="dxa"/>
            <w:tcBorders>
              <w:top w:val="nil"/>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color w:val="000000"/>
                <w:sz w:val="18"/>
                <w:szCs w:val="18"/>
              </w:rPr>
            </w:pPr>
            <w:r>
              <w:rPr>
                <w:rFonts w:ascii="Arial" w:hAnsi="Arial" w:cs="Arial"/>
                <w:color w:val="000000"/>
                <w:sz w:val="18"/>
                <w:szCs w:val="18"/>
              </w:rPr>
              <w:t>4</w:t>
            </w:r>
          </w:p>
        </w:tc>
        <w:tc>
          <w:tcPr>
            <w:tcW w:w="1330" w:type="dxa"/>
            <w:tcBorders>
              <w:top w:val="nil"/>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color w:val="000000"/>
                <w:sz w:val="18"/>
                <w:szCs w:val="18"/>
              </w:rPr>
            </w:pPr>
            <w:r>
              <w:rPr>
                <w:rFonts w:ascii="Arial" w:hAnsi="Arial" w:cs="Arial"/>
                <w:color w:val="000000"/>
                <w:sz w:val="18"/>
                <w:szCs w:val="18"/>
              </w:rPr>
              <w:t>5</w:t>
            </w:r>
          </w:p>
        </w:tc>
        <w:tc>
          <w:tcPr>
            <w:tcW w:w="1232" w:type="dxa"/>
            <w:tcBorders>
              <w:top w:val="nil"/>
              <w:left w:val="nil"/>
              <w:bottom w:val="single" w:sz="8" w:space="0" w:color="auto"/>
              <w:right w:val="single" w:sz="4" w:space="0" w:color="auto"/>
            </w:tcBorders>
            <w:shd w:val="clear" w:color="auto" w:fill="auto"/>
            <w:vAlign w:val="center"/>
            <w:hideMark/>
          </w:tcPr>
          <w:p w:rsidR="007E1452" w:rsidRDefault="007E1452" w:rsidP="007A1C80">
            <w:pPr>
              <w:spacing w:line="276" w:lineRule="auto"/>
              <w:jc w:val="center"/>
              <w:rPr>
                <w:rFonts w:ascii="Arial" w:hAnsi="Arial" w:cs="Arial"/>
                <w:color w:val="000000"/>
                <w:sz w:val="18"/>
                <w:szCs w:val="18"/>
              </w:rPr>
            </w:pPr>
            <w:r>
              <w:rPr>
                <w:rFonts w:ascii="Arial" w:hAnsi="Arial" w:cs="Arial"/>
                <w:color w:val="000000"/>
                <w:sz w:val="18"/>
                <w:szCs w:val="18"/>
              </w:rPr>
              <w:t>6</w:t>
            </w:r>
          </w:p>
        </w:tc>
      </w:tr>
      <w:tr w:rsidR="007E1452" w:rsidTr="007A1C80">
        <w:trPr>
          <w:trHeight w:val="197"/>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7E1452" w:rsidRDefault="007E1452" w:rsidP="007A1C80">
            <w:pPr>
              <w:spacing w:line="276" w:lineRule="auto"/>
              <w:rPr>
                <w:rFonts w:ascii="Arial" w:hAnsi="Arial" w:cs="Arial"/>
                <w:color w:val="000000"/>
                <w:sz w:val="18"/>
                <w:szCs w:val="18"/>
              </w:rPr>
            </w:pPr>
            <w:r>
              <w:rPr>
                <w:rFonts w:ascii="Arial" w:hAnsi="Arial" w:cs="Arial"/>
                <w:color w:val="000000"/>
                <w:sz w:val="18"/>
                <w:szCs w:val="18"/>
              </w:rPr>
              <w:t>Za lijekove</w:t>
            </w:r>
          </w:p>
        </w:tc>
        <w:tc>
          <w:tcPr>
            <w:tcW w:w="1428"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122.720.026,30</w:t>
            </w:r>
          </w:p>
        </w:tc>
        <w:tc>
          <w:tcPr>
            <w:tcW w:w="1428"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77.910.300,51</w:t>
            </w:r>
          </w:p>
        </w:tc>
        <w:tc>
          <w:tcPr>
            <w:tcW w:w="1330"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37.185.708,70</w:t>
            </w:r>
          </w:p>
        </w:tc>
        <w:tc>
          <w:tcPr>
            <w:tcW w:w="1330"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14.841.856,01</w:t>
            </w:r>
          </w:p>
        </w:tc>
        <w:tc>
          <w:tcPr>
            <w:tcW w:w="1330"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22.356.388,24</w:t>
            </w:r>
          </w:p>
        </w:tc>
        <w:tc>
          <w:tcPr>
            <w:tcW w:w="1232"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3.526.347,56</w:t>
            </w:r>
          </w:p>
        </w:tc>
      </w:tr>
      <w:tr w:rsidR="007E1452" w:rsidTr="007A1C80">
        <w:trPr>
          <w:trHeight w:val="310"/>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7E1452" w:rsidRDefault="007E1452" w:rsidP="007A1C80">
            <w:pPr>
              <w:spacing w:line="276" w:lineRule="auto"/>
              <w:rPr>
                <w:rFonts w:ascii="Arial" w:hAnsi="Arial" w:cs="Arial"/>
                <w:color w:val="000000"/>
                <w:sz w:val="18"/>
                <w:szCs w:val="18"/>
              </w:rPr>
            </w:pPr>
            <w:r>
              <w:rPr>
                <w:rFonts w:ascii="Arial" w:hAnsi="Arial" w:cs="Arial"/>
                <w:color w:val="000000"/>
                <w:sz w:val="18"/>
                <w:szCs w:val="18"/>
              </w:rPr>
              <w:t>Za sanitetski materijal, krvi i krvne derivate i sl.</w:t>
            </w:r>
          </w:p>
        </w:tc>
        <w:tc>
          <w:tcPr>
            <w:tcW w:w="1428"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47.890.193,83</w:t>
            </w:r>
          </w:p>
        </w:tc>
        <w:tc>
          <w:tcPr>
            <w:tcW w:w="1428"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31.647.503,82</w:t>
            </w:r>
          </w:p>
        </w:tc>
        <w:tc>
          <w:tcPr>
            <w:tcW w:w="1330"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16.134.236,32</w:t>
            </w:r>
          </w:p>
        </w:tc>
        <w:tc>
          <w:tcPr>
            <w:tcW w:w="1330"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6.188.888,51</w:t>
            </w:r>
          </w:p>
        </w:tc>
        <w:tc>
          <w:tcPr>
            <w:tcW w:w="1330"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8.879.863,11</w:t>
            </w:r>
          </w:p>
        </w:tc>
        <w:tc>
          <w:tcPr>
            <w:tcW w:w="1232" w:type="dxa"/>
            <w:tcBorders>
              <w:top w:val="nil"/>
              <w:left w:val="nil"/>
              <w:bottom w:val="single" w:sz="4"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color w:val="000000"/>
                <w:sz w:val="18"/>
                <w:szCs w:val="18"/>
              </w:rPr>
            </w:pPr>
            <w:r>
              <w:rPr>
                <w:rFonts w:ascii="Arial" w:hAnsi="Arial" w:cs="Arial"/>
                <w:color w:val="000000"/>
                <w:sz w:val="18"/>
                <w:szCs w:val="18"/>
              </w:rPr>
              <w:t>444.515,88</w:t>
            </w:r>
          </w:p>
        </w:tc>
      </w:tr>
      <w:tr w:rsidR="007E1452" w:rsidTr="007A1C80">
        <w:trPr>
          <w:trHeight w:val="197"/>
        </w:trPr>
        <w:tc>
          <w:tcPr>
            <w:tcW w:w="159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452" w:rsidRDefault="007E1452" w:rsidP="007A1C80">
            <w:pPr>
              <w:spacing w:line="276" w:lineRule="auto"/>
              <w:rPr>
                <w:rFonts w:ascii="Arial" w:hAnsi="Arial" w:cs="Arial"/>
                <w:b/>
                <w:bCs/>
                <w:color w:val="000000"/>
                <w:sz w:val="18"/>
                <w:szCs w:val="18"/>
              </w:rPr>
            </w:pPr>
            <w:r>
              <w:rPr>
                <w:rFonts w:ascii="Arial" w:hAnsi="Arial" w:cs="Arial"/>
                <w:b/>
                <w:bCs/>
                <w:color w:val="000000"/>
                <w:sz w:val="18"/>
                <w:szCs w:val="18"/>
              </w:rPr>
              <w:t>UKUPNO:</w:t>
            </w:r>
          </w:p>
        </w:tc>
        <w:tc>
          <w:tcPr>
            <w:tcW w:w="1428" w:type="dxa"/>
            <w:tcBorders>
              <w:top w:val="single" w:sz="8" w:space="0" w:color="auto"/>
              <w:left w:val="nil"/>
              <w:bottom w:val="single" w:sz="8"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b/>
                <w:bCs/>
                <w:color w:val="000000"/>
                <w:sz w:val="18"/>
                <w:szCs w:val="18"/>
              </w:rPr>
            </w:pPr>
            <w:r>
              <w:rPr>
                <w:rFonts w:ascii="Arial" w:hAnsi="Arial" w:cs="Arial"/>
                <w:b/>
                <w:bCs/>
                <w:color w:val="000000"/>
                <w:sz w:val="18"/>
                <w:szCs w:val="18"/>
              </w:rPr>
              <w:t>170.610.220,13</w:t>
            </w:r>
          </w:p>
        </w:tc>
        <w:tc>
          <w:tcPr>
            <w:tcW w:w="1428" w:type="dxa"/>
            <w:tcBorders>
              <w:top w:val="single" w:sz="8" w:space="0" w:color="auto"/>
              <w:left w:val="nil"/>
              <w:bottom w:val="single" w:sz="8"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b/>
                <w:bCs/>
                <w:color w:val="000000"/>
                <w:sz w:val="18"/>
                <w:szCs w:val="18"/>
              </w:rPr>
            </w:pPr>
            <w:r>
              <w:rPr>
                <w:rFonts w:ascii="Arial" w:hAnsi="Arial" w:cs="Arial"/>
                <w:b/>
                <w:bCs/>
                <w:color w:val="000000"/>
                <w:sz w:val="18"/>
                <w:szCs w:val="18"/>
              </w:rPr>
              <w:t>109.557.804,33</w:t>
            </w:r>
          </w:p>
        </w:tc>
        <w:tc>
          <w:tcPr>
            <w:tcW w:w="1330" w:type="dxa"/>
            <w:tcBorders>
              <w:top w:val="single" w:sz="8" w:space="0" w:color="auto"/>
              <w:left w:val="nil"/>
              <w:bottom w:val="single" w:sz="8"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b/>
                <w:bCs/>
                <w:color w:val="000000"/>
                <w:sz w:val="18"/>
                <w:szCs w:val="18"/>
              </w:rPr>
            </w:pPr>
            <w:r>
              <w:rPr>
                <w:rFonts w:ascii="Arial" w:hAnsi="Arial" w:cs="Arial"/>
                <w:b/>
                <w:bCs/>
                <w:color w:val="000000"/>
                <w:sz w:val="18"/>
                <w:szCs w:val="18"/>
              </w:rPr>
              <w:t>53.319.945,02</w:t>
            </w:r>
          </w:p>
        </w:tc>
        <w:tc>
          <w:tcPr>
            <w:tcW w:w="1330" w:type="dxa"/>
            <w:tcBorders>
              <w:top w:val="single" w:sz="8" w:space="0" w:color="auto"/>
              <w:left w:val="nil"/>
              <w:bottom w:val="single" w:sz="8"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b/>
                <w:bCs/>
                <w:color w:val="000000"/>
                <w:sz w:val="18"/>
                <w:szCs w:val="18"/>
              </w:rPr>
            </w:pPr>
            <w:r>
              <w:rPr>
                <w:rFonts w:ascii="Arial" w:hAnsi="Arial" w:cs="Arial"/>
                <w:b/>
                <w:bCs/>
                <w:color w:val="000000"/>
                <w:sz w:val="18"/>
                <w:szCs w:val="18"/>
              </w:rPr>
              <w:t>21.030.744,52</w:t>
            </w:r>
          </w:p>
        </w:tc>
        <w:tc>
          <w:tcPr>
            <w:tcW w:w="1330" w:type="dxa"/>
            <w:tcBorders>
              <w:top w:val="single" w:sz="8" w:space="0" w:color="auto"/>
              <w:left w:val="nil"/>
              <w:bottom w:val="single" w:sz="8"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b/>
                <w:bCs/>
                <w:color w:val="000000"/>
                <w:sz w:val="18"/>
                <w:szCs w:val="18"/>
              </w:rPr>
            </w:pPr>
            <w:r>
              <w:rPr>
                <w:rFonts w:ascii="Arial" w:hAnsi="Arial" w:cs="Arial"/>
                <w:b/>
                <w:bCs/>
                <w:color w:val="000000"/>
                <w:sz w:val="18"/>
                <w:szCs w:val="18"/>
              </w:rPr>
              <w:t>31.236.251,35</w:t>
            </w:r>
          </w:p>
        </w:tc>
        <w:tc>
          <w:tcPr>
            <w:tcW w:w="1232" w:type="dxa"/>
            <w:tcBorders>
              <w:top w:val="single" w:sz="8" w:space="0" w:color="auto"/>
              <w:left w:val="nil"/>
              <w:bottom w:val="single" w:sz="8" w:space="0" w:color="auto"/>
              <w:right w:val="single" w:sz="4" w:space="0" w:color="auto"/>
            </w:tcBorders>
            <w:shd w:val="clear" w:color="auto" w:fill="auto"/>
            <w:vAlign w:val="bottom"/>
            <w:hideMark/>
          </w:tcPr>
          <w:p w:rsidR="007E1452" w:rsidRDefault="007E1452" w:rsidP="007A1C80">
            <w:pPr>
              <w:spacing w:line="276" w:lineRule="auto"/>
              <w:jc w:val="right"/>
              <w:rPr>
                <w:rFonts w:ascii="Arial" w:hAnsi="Arial" w:cs="Arial"/>
                <w:b/>
                <w:bCs/>
                <w:color w:val="000000"/>
                <w:sz w:val="18"/>
                <w:szCs w:val="18"/>
              </w:rPr>
            </w:pPr>
            <w:r>
              <w:rPr>
                <w:rFonts w:ascii="Arial" w:hAnsi="Arial" w:cs="Arial"/>
                <w:b/>
                <w:bCs/>
                <w:color w:val="000000"/>
                <w:sz w:val="18"/>
                <w:szCs w:val="18"/>
              </w:rPr>
              <w:t>3.970.863,44</w:t>
            </w:r>
          </w:p>
        </w:tc>
      </w:tr>
    </w:tbl>
    <w:p w:rsidR="007E1452" w:rsidRPr="00A2782A" w:rsidRDefault="007E1452" w:rsidP="007E1452">
      <w:pPr>
        <w:pStyle w:val="PlainText"/>
        <w:spacing w:line="276" w:lineRule="auto"/>
        <w:rPr>
          <w:rFonts w:ascii="Tahoma" w:hAnsi="Tahoma" w:cs="Tahoma"/>
          <w:b/>
          <w:sz w:val="22"/>
          <w:szCs w:val="22"/>
        </w:rPr>
      </w:pPr>
    </w:p>
    <w:p w:rsidR="007E1452" w:rsidRPr="00A2782A" w:rsidRDefault="007E1452" w:rsidP="007E1452">
      <w:pPr>
        <w:pStyle w:val="PlainText"/>
        <w:spacing w:line="276" w:lineRule="auto"/>
        <w:jc w:val="both"/>
        <w:rPr>
          <w:rFonts w:ascii="Tahoma" w:hAnsi="Tahoma" w:cs="Tahoma"/>
          <w:sz w:val="22"/>
          <w:szCs w:val="22"/>
        </w:rPr>
      </w:pPr>
    </w:p>
    <w:p w:rsidR="007E1452" w:rsidRDefault="007E1452" w:rsidP="00D0441B">
      <w:pPr>
        <w:jc w:val="both"/>
        <w:rPr>
          <w:rFonts w:ascii="Tahoma" w:eastAsia="Calibri" w:hAnsi="Tahoma" w:cs="Tahoma"/>
          <w:sz w:val="22"/>
          <w:szCs w:val="22"/>
        </w:rPr>
      </w:pPr>
      <w:r w:rsidRPr="00A2782A">
        <w:rPr>
          <w:rFonts w:ascii="Tahoma" w:eastAsia="Calibri" w:hAnsi="Tahoma" w:cs="Tahoma"/>
          <w:sz w:val="22"/>
          <w:szCs w:val="22"/>
        </w:rPr>
        <w:t xml:space="preserve">Glavni razlozi dospjelosti obveza su nedovoljan ugovoreni maksimalni mjesečni iznos sredstava za provođenje bolničke  i specijalističko-konzilijarne zdravstvene zaštite iz obveznog zdravstvenog </w:t>
      </w:r>
      <w:r w:rsidRPr="007A6A85">
        <w:rPr>
          <w:rFonts w:ascii="Tahoma" w:eastAsia="Calibri" w:hAnsi="Tahoma" w:cs="Tahoma"/>
          <w:sz w:val="22"/>
          <w:szCs w:val="22"/>
        </w:rPr>
        <w:t>osiguranja („limit“ )</w:t>
      </w:r>
      <w:r w:rsidRPr="00A2782A">
        <w:rPr>
          <w:rFonts w:ascii="Tahoma" w:eastAsia="Calibri" w:hAnsi="Tahoma" w:cs="Tahoma"/>
          <w:sz w:val="22"/>
          <w:szCs w:val="22"/>
        </w:rPr>
        <w:t xml:space="preserve"> kao i nedovoljan ugovoreni mjesečni iznos za ugovorene aktivnosti i programe </w:t>
      </w:r>
      <w:r>
        <w:rPr>
          <w:rFonts w:ascii="Tahoma" w:eastAsia="Calibri" w:hAnsi="Tahoma" w:cs="Tahoma"/>
          <w:sz w:val="22"/>
          <w:szCs w:val="22"/>
        </w:rPr>
        <w:t>„izvan limita</w:t>
      </w:r>
      <w:r w:rsidRPr="00A2782A">
        <w:rPr>
          <w:rFonts w:ascii="Tahoma" w:eastAsia="Calibri" w:hAnsi="Tahoma" w:cs="Tahoma"/>
          <w:sz w:val="22"/>
          <w:szCs w:val="22"/>
        </w:rPr>
        <w:t>“.</w:t>
      </w:r>
      <w:r>
        <w:rPr>
          <w:rFonts w:ascii="Tahoma" w:eastAsia="Calibri" w:hAnsi="Tahoma" w:cs="Tahoma"/>
          <w:sz w:val="22"/>
          <w:szCs w:val="22"/>
        </w:rPr>
        <w:t xml:space="preserve"> </w:t>
      </w:r>
    </w:p>
    <w:p w:rsidR="00634D1A" w:rsidRDefault="00634D1A" w:rsidP="000B6089">
      <w:pPr>
        <w:jc w:val="both"/>
        <w:rPr>
          <w:rFonts w:ascii="Tahoma" w:hAnsi="Tahoma" w:cs="Tahoma"/>
          <w:sz w:val="22"/>
          <w:szCs w:val="22"/>
        </w:rPr>
      </w:pPr>
    </w:p>
    <w:p w:rsidR="007E1452" w:rsidRDefault="007E1452" w:rsidP="000B6089">
      <w:pPr>
        <w:jc w:val="both"/>
        <w:rPr>
          <w:rFonts w:ascii="Tahoma" w:hAnsi="Tahoma" w:cs="Tahoma"/>
          <w:sz w:val="22"/>
          <w:szCs w:val="22"/>
        </w:rPr>
      </w:pPr>
    </w:p>
    <w:p w:rsidR="007E1452" w:rsidRDefault="007E1452" w:rsidP="000B6089">
      <w:pPr>
        <w:jc w:val="both"/>
        <w:rPr>
          <w:rFonts w:ascii="Tahoma" w:hAnsi="Tahoma" w:cs="Tahoma"/>
          <w:sz w:val="22"/>
          <w:szCs w:val="22"/>
        </w:rPr>
      </w:pPr>
    </w:p>
    <w:p w:rsidR="00472BD3" w:rsidRDefault="00472BD3" w:rsidP="000B6089">
      <w:pPr>
        <w:jc w:val="both"/>
        <w:rPr>
          <w:rFonts w:ascii="Tahoma" w:hAnsi="Tahoma" w:cs="Tahoma"/>
          <w:sz w:val="22"/>
          <w:szCs w:val="22"/>
        </w:rPr>
      </w:pPr>
    </w:p>
    <w:p w:rsidR="007E1452" w:rsidRDefault="007E1452" w:rsidP="000B6089">
      <w:pPr>
        <w:jc w:val="both"/>
        <w:rPr>
          <w:rFonts w:ascii="Tahoma" w:hAnsi="Tahoma" w:cs="Tahoma"/>
          <w:sz w:val="22"/>
          <w:szCs w:val="22"/>
        </w:rPr>
      </w:pPr>
    </w:p>
    <w:p w:rsidR="007E1452" w:rsidRPr="001621B4" w:rsidRDefault="007E1452" w:rsidP="007E1452">
      <w:pPr>
        <w:pStyle w:val="PlainText"/>
        <w:ind w:left="4536"/>
        <w:jc w:val="center"/>
        <w:rPr>
          <w:rFonts w:ascii="Tahoma" w:hAnsi="Tahoma" w:cs="Tahoma"/>
          <w:b/>
          <w:sz w:val="22"/>
          <w:szCs w:val="22"/>
        </w:rPr>
      </w:pPr>
      <w:r>
        <w:rPr>
          <w:rFonts w:ascii="Tahoma" w:hAnsi="Tahoma" w:cs="Tahoma"/>
          <w:b/>
          <w:sz w:val="22"/>
          <w:szCs w:val="22"/>
        </w:rPr>
        <w:t>v. d. ravnatelja</w:t>
      </w:r>
    </w:p>
    <w:p w:rsidR="007E1452" w:rsidRPr="001621B4" w:rsidRDefault="007E1452" w:rsidP="007E1452">
      <w:pPr>
        <w:pStyle w:val="PlainText"/>
        <w:ind w:left="4536"/>
        <w:jc w:val="center"/>
        <w:rPr>
          <w:rFonts w:ascii="Tahoma" w:hAnsi="Tahoma" w:cs="Tahoma"/>
          <w:b/>
          <w:sz w:val="22"/>
          <w:szCs w:val="22"/>
        </w:rPr>
      </w:pPr>
    </w:p>
    <w:p w:rsidR="007E1452" w:rsidRPr="006A426B" w:rsidRDefault="007E1452" w:rsidP="007E1452">
      <w:pPr>
        <w:pStyle w:val="PlainText"/>
        <w:ind w:left="4536"/>
        <w:jc w:val="center"/>
        <w:rPr>
          <w:rFonts w:ascii="Tahoma" w:hAnsi="Tahoma" w:cs="Tahoma"/>
          <w:b/>
          <w:sz w:val="22"/>
          <w:szCs w:val="22"/>
        </w:rPr>
      </w:pPr>
      <w:r>
        <w:rPr>
          <w:rFonts w:ascii="Tahoma" w:hAnsi="Tahoma" w:cs="Tahoma"/>
          <w:b/>
          <w:sz w:val="22"/>
          <w:szCs w:val="22"/>
        </w:rPr>
        <w:t xml:space="preserve">prof. dr. </w:t>
      </w:r>
      <w:proofErr w:type="spellStart"/>
      <w:r>
        <w:rPr>
          <w:rFonts w:ascii="Tahoma" w:hAnsi="Tahoma" w:cs="Tahoma"/>
          <w:b/>
          <w:sz w:val="22"/>
          <w:szCs w:val="22"/>
        </w:rPr>
        <w:t>sc</w:t>
      </w:r>
      <w:proofErr w:type="spellEnd"/>
      <w:r>
        <w:rPr>
          <w:rFonts w:ascii="Tahoma" w:hAnsi="Tahoma" w:cs="Tahoma"/>
          <w:b/>
          <w:sz w:val="22"/>
          <w:szCs w:val="22"/>
        </w:rPr>
        <w:t>. Stjepko Pleština</w:t>
      </w:r>
    </w:p>
    <w:p w:rsidR="007E1452" w:rsidRDefault="007E1452"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837382" w:rsidRDefault="00837382" w:rsidP="000B6089">
      <w:pPr>
        <w:jc w:val="both"/>
        <w:rPr>
          <w:rFonts w:ascii="Tahoma" w:hAnsi="Tahoma" w:cs="Tahoma"/>
          <w:sz w:val="22"/>
          <w:szCs w:val="22"/>
        </w:rPr>
      </w:pPr>
    </w:p>
    <w:p w:rsidR="00D0441B" w:rsidRDefault="00D0441B" w:rsidP="000B6089">
      <w:pPr>
        <w:jc w:val="both"/>
        <w:rPr>
          <w:rFonts w:ascii="Tahoma" w:hAnsi="Tahoma" w:cs="Tahoma"/>
          <w:sz w:val="22"/>
          <w:szCs w:val="22"/>
        </w:rPr>
      </w:pPr>
    </w:p>
    <w:p w:rsidR="00D0441B" w:rsidRDefault="00D0441B" w:rsidP="000B6089">
      <w:pPr>
        <w:jc w:val="both"/>
        <w:rPr>
          <w:rFonts w:ascii="Tahoma" w:hAnsi="Tahoma" w:cs="Tahoma"/>
          <w:sz w:val="22"/>
          <w:szCs w:val="22"/>
        </w:rPr>
      </w:pPr>
    </w:p>
    <w:p w:rsidR="00D0441B" w:rsidRDefault="00D0441B" w:rsidP="000B6089">
      <w:pPr>
        <w:jc w:val="both"/>
        <w:rPr>
          <w:rFonts w:ascii="Tahoma" w:hAnsi="Tahoma" w:cs="Tahoma"/>
          <w:sz w:val="22"/>
          <w:szCs w:val="22"/>
        </w:rPr>
      </w:pPr>
    </w:p>
    <w:p w:rsidR="00D0441B" w:rsidRDefault="00D0441B" w:rsidP="000B6089">
      <w:pPr>
        <w:jc w:val="both"/>
        <w:rPr>
          <w:rFonts w:ascii="Tahoma" w:hAnsi="Tahoma" w:cs="Tahoma"/>
          <w:sz w:val="22"/>
          <w:szCs w:val="22"/>
        </w:rPr>
      </w:pPr>
    </w:p>
    <w:p w:rsidR="00D0441B" w:rsidRDefault="00D0441B" w:rsidP="000B6089">
      <w:pPr>
        <w:jc w:val="both"/>
        <w:rPr>
          <w:rFonts w:ascii="Tahoma" w:hAnsi="Tahoma" w:cs="Tahoma"/>
          <w:sz w:val="22"/>
          <w:szCs w:val="22"/>
        </w:rPr>
      </w:pPr>
    </w:p>
    <w:p w:rsidR="00D0441B" w:rsidRDefault="00D0441B" w:rsidP="000B6089">
      <w:pPr>
        <w:jc w:val="both"/>
        <w:rPr>
          <w:rFonts w:ascii="Tahoma" w:hAnsi="Tahoma" w:cs="Tahoma"/>
          <w:sz w:val="22"/>
          <w:szCs w:val="22"/>
        </w:rPr>
      </w:pPr>
    </w:p>
    <w:p w:rsidR="00D0441B" w:rsidRDefault="00D0441B"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634F8E" w:rsidRDefault="00634F8E" w:rsidP="000B6089">
      <w:pPr>
        <w:jc w:val="both"/>
        <w:rPr>
          <w:rFonts w:ascii="Tahoma" w:hAnsi="Tahoma" w:cs="Tahoma"/>
          <w:sz w:val="22"/>
          <w:szCs w:val="22"/>
        </w:rPr>
      </w:pPr>
    </w:p>
    <w:p w:rsidR="0047264A" w:rsidRDefault="0047264A" w:rsidP="000B6089">
      <w:pPr>
        <w:jc w:val="both"/>
        <w:rPr>
          <w:rFonts w:ascii="Tahoma" w:hAnsi="Tahoma" w:cs="Tahoma"/>
          <w:sz w:val="22"/>
          <w:szCs w:val="22"/>
        </w:rPr>
      </w:pPr>
    </w:p>
    <w:p w:rsidR="001C5555" w:rsidRDefault="001C5555" w:rsidP="000B6089">
      <w:pPr>
        <w:jc w:val="both"/>
        <w:rPr>
          <w:rFonts w:ascii="Tahoma" w:hAnsi="Tahoma" w:cs="Tahoma"/>
          <w:sz w:val="22"/>
          <w:szCs w:val="22"/>
        </w:rPr>
      </w:pPr>
    </w:p>
    <w:sectPr w:rsidR="001C5555" w:rsidSect="00AA0183">
      <w:headerReference w:type="even" r:id="rId8"/>
      <w:footerReference w:type="even" r:id="rId9"/>
      <w:footerReference w:type="default" r:id="rId10"/>
      <w:foot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0C9" w:rsidRDefault="004230C9">
      <w:r>
        <w:separator/>
      </w:r>
    </w:p>
  </w:endnote>
  <w:endnote w:type="continuationSeparator" w:id="0">
    <w:p w:rsidR="004230C9" w:rsidRDefault="0042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9A" w:rsidRDefault="008B569A" w:rsidP="00E50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569A" w:rsidRDefault="008B569A" w:rsidP="00E501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9A" w:rsidRDefault="008B569A" w:rsidP="00E50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77E">
      <w:rPr>
        <w:rStyle w:val="PageNumber"/>
        <w:noProof/>
      </w:rPr>
      <w:t>16</w:t>
    </w:r>
    <w:r>
      <w:rPr>
        <w:rStyle w:val="PageNumber"/>
      </w:rPr>
      <w:fldChar w:fldCharType="end"/>
    </w:r>
  </w:p>
  <w:p w:rsidR="008B569A" w:rsidRDefault="008B569A" w:rsidP="00E501B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9A" w:rsidRDefault="008B569A" w:rsidP="003E0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B569A" w:rsidRDefault="008B569A" w:rsidP="00E501B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0C9" w:rsidRDefault="004230C9">
      <w:r>
        <w:separator/>
      </w:r>
    </w:p>
  </w:footnote>
  <w:footnote w:type="continuationSeparator" w:id="0">
    <w:p w:rsidR="004230C9" w:rsidRDefault="0042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9A" w:rsidRDefault="008B56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569A" w:rsidRDefault="008B5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25691"/>
    <w:multiLevelType w:val="hybridMultilevel"/>
    <w:tmpl w:val="79A4E5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4E52F5"/>
    <w:multiLevelType w:val="hybridMultilevel"/>
    <w:tmpl w:val="C8867A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C94623"/>
    <w:multiLevelType w:val="multilevel"/>
    <w:tmpl w:val="012C69BC"/>
    <w:lvl w:ilvl="0">
      <w:start w:val="1"/>
      <w:numFmt w:val="decimal"/>
      <w:lvlText w:val="%1."/>
      <w:lvlJc w:val="left"/>
      <w:pPr>
        <w:ind w:left="885" w:hanging="885"/>
      </w:pPr>
      <w:rPr>
        <w:rFonts w:hint="default"/>
      </w:rPr>
    </w:lvl>
    <w:lvl w:ilvl="1">
      <w:start w:val="1"/>
      <w:numFmt w:val="decimal"/>
      <w:lvlText w:val="%1.%2."/>
      <w:lvlJc w:val="left"/>
      <w:pPr>
        <w:ind w:left="1185" w:hanging="885"/>
      </w:pPr>
      <w:rPr>
        <w:rFonts w:hint="default"/>
      </w:rPr>
    </w:lvl>
    <w:lvl w:ilvl="2">
      <w:start w:val="2"/>
      <w:numFmt w:val="decimal"/>
      <w:lvlText w:val="%1.%2.%3."/>
      <w:lvlJc w:val="left"/>
      <w:pPr>
        <w:ind w:left="1680" w:hanging="108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640" w:hanging="1440"/>
      </w:pPr>
      <w:rPr>
        <w:rFonts w:hint="default"/>
      </w:rPr>
    </w:lvl>
    <w:lvl w:ilvl="5">
      <w:start w:val="1"/>
      <w:numFmt w:val="decimal"/>
      <w:lvlText w:val="%1.%2.%3.%4.%5.%6."/>
      <w:lvlJc w:val="left"/>
      <w:pPr>
        <w:ind w:left="3300" w:hanging="180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4260" w:hanging="2160"/>
      </w:pPr>
      <w:rPr>
        <w:rFonts w:hint="default"/>
      </w:rPr>
    </w:lvl>
    <w:lvl w:ilvl="8">
      <w:start w:val="1"/>
      <w:numFmt w:val="decimal"/>
      <w:lvlText w:val="%1.%2.%3.%4.%5.%6.%7.%8.%9."/>
      <w:lvlJc w:val="left"/>
      <w:pPr>
        <w:ind w:left="4920" w:hanging="2520"/>
      </w:pPr>
      <w:rPr>
        <w:rFonts w:hint="default"/>
      </w:rPr>
    </w:lvl>
  </w:abstractNum>
  <w:abstractNum w:abstractNumId="4" w15:restartNumberingAfterBreak="0">
    <w:nsid w:val="1063522E"/>
    <w:multiLevelType w:val="hybridMultilevel"/>
    <w:tmpl w:val="993C3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C20C23"/>
    <w:multiLevelType w:val="hybridMultilevel"/>
    <w:tmpl w:val="88464A6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16F43F2F"/>
    <w:multiLevelType w:val="hybridMultilevel"/>
    <w:tmpl w:val="4A2039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9F0AC5"/>
    <w:multiLevelType w:val="hybridMultilevel"/>
    <w:tmpl w:val="BE0098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447E04"/>
    <w:multiLevelType w:val="hybridMultilevel"/>
    <w:tmpl w:val="7A08FB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066EC"/>
    <w:multiLevelType w:val="multilevel"/>
    <w:tmpl w:val="5DEA4EF4"/>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34525A86"/>
    <w:multiLevelType w:val="multilevel"/>
    <w:tmpl w:val="ACCA3D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578" w:hanging="108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71D081E"/>
    <w:multiLevelType w:val="multilevel"/>
    <w:tmpl w:val="0096DF0E"/>
    <w:lvl w:ilvl="0">
      <w:start w:val="2"/>
      <w:numFmt w:val="decimal"/>
      <w:lvlText w:val="%1"/>
      <w:lvlJc w:val="left"/>
      <w:pPr>
        <w:ind w:left="600" w:hanging="60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2" w15:restartNumberingAfterBreak="0">
    <w:nsid w:val="3E4B0C88"/>
    <w:multiLevelType w:val="multilevel"/>
    <w:tmpl w:val="ACCA3D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4BD324D4"/>
    <w:multiLevelType w:val="multilevel"/>
    <w:tmpl w:val="20746866"/>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5D8F6F2D"/>
    <w:multiLevelType w:val="multilevel"/>
    <w:tmpl w:val="5F9EBCFA"/>
    <w:lvl w:ilvl="0">
      <w:start w:val="1"/>
      <w:numFmt w:val="upperRoman"/>
      <w:lvlText w:val="%1."/>
      <w:lvlJc w:val="left"/>
      <w:pPr>
        <w:ind w:left="1080" w:hanging="72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5E0F2FE9"/>
    <w:multiLevelType w:val="multilevel"/>
    <w:tmpl w:val="62CC8FF2"/>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5F917F9C"/>
    <w:multiLevelType w:val="hybridMultilevel"/>
    <w:tmpl w:val="4A2039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1EE45C7"/>
    <w:multiLevelType w:val="hybridMultilevel"/>
    <w:tmpl w:val="B360FAE4"/>
    <w:lvl w:ilvl="0" w:tplc="C714E5DC">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52A3BE6"/>
    <w:multiLevelType w:val="multilevel"/>
    <w:tmpl w:val="5036BC44"/>
    <w:lvl w:ilvl="0">
      <w:start w:val="1"/>
      <w:numFmt w:val="decimal"/>
      <w:lvlText w:val="%1."/>
      <w:lvlJc w:val="left"/>
      <w:pPr>
        <w:ind w:left="900" w:hanging="900"/>
      </w:pPr>
      <w:rPr>
        <w:rFonts w:hint="default"/>
      </w:rPr>
    </w:lvl>
    <w:lvl w:ilvl="1">
      <w:start w:val="1"/>
      <w:numFmt w:val="decimal"/>
      <w:lvlText w:val="%1.%2."/>
      <w:lvlJc w:val="left"/>
      <w:pPr>
        <w:ind w:left="1260" w:hanging="900"/>
      </w:pPr>
      <w:rPr>
        <w:rFonts w:hint="default"/>
      </w:rPr>
    </w:lvl>
    <w:lvl w:ilvl="2">
      <w:start w:val="1"/>
      <w:numFmt w:val="decimal"/>
      <w:lvlText w:val="%1.%2.%3."/>
      <w:lvlJc w:val="left"/>
      <w:pPr>
        <w:ind w:left="1800" w:hanging="108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6EB0324A"/>
    <w:multiLevelType w:val="hybridMultilevel"/>
    <w:tmpl w:val="4A2039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6D222A9"/>
    <w:multiLevelType w:val="hybridMultilevel"/>
    <w:tmpl w:val="4A2039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3"/>
  </w:num>
  <w:num w:numId="3">
    <w:abstractNumId w:val="18"/>
  </w:num>
  <w:num w:numId="4">
    <w:abstractNumId w:val="3"/>
  </w:num>
  <w:num w:numId="5">
    <w:abstractNumId w:val="2"/>
  </w:num>
  <w:num w:numId="6">
    <w:abstractNumId w:val="6"/>
  </w:num>
  <w:num w:numId="7">
    <w:abstractNumId w:val="14"/>
  </w:num>
  <w:num w:numId="8">
    <w:abstractNumId w:val="4"/>
  </w:num>
  <w:num w:numId="9">
    <w:abstractNumId w:val="17"/>
  </w:num>
  <w:num w:numId="10">
    <w:abstractNumId w:val="5"/>
  </w:num>
  <w:num w:numId="11">
    <w:abstractNumId w:val="8"/>
  </w:num>
  <w:num w:numId="12">
    <w:abstractNumId w:val="12"/>
  </w:num>
  <w:num w:numId="13">
    <w:abstractNumId w:val="15"/>
  </w:num>
  <w:num w:numId="14">
    <w:abstractNumId w:val="11"/>
  </w:num>
  <w:num w:numId="15">
    <w:abstractNumId w:val="1"/>
  </w:num>
  <w:num w:numId="16">
    <w:abstractNumId w:val="7"/>
  </w:num>
  <w:num w:numId="17">
    <w:abstractNumId w:val="9"/>
  </w:num>
  <w:num w:numId="18">
    <w:abstractNumId w:val="20"/>
  </w:num>
  <w:num w:numId="19">
    <w:abstractNumId w:val="19"/>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AD"/>
    <w:rsid w:val="00000C7F"/>
    <w:rsid w:val="000011B7"/>
    <w:rsid w:val="00001C73"/>
    <w:rsid w:val="0000273E"/>
    <w:rsid w:val="000027EA"/>
    <w:rsid w:val="00004A24"/>
    <w:rsid w:val="00005ED8"/>
    <w:rsid w:val="00006234"/>
    <w:rsid w:val="000067CB"/>
    <w:rsid w:val="0000680E"/>
    <w:rsid w:val="00006AE0"/>
    <w:rsid w:val="00006FCD"/>
    <w:rsid w:val="00007542"/>
    <w:rsid w:val="000077DA"/>
    <w:rsid w:val="00010550"/>
    <w:rsid w:val="0001087C"/>
    <w:rsid w:val="00010935"/>
    <w:rsid w:val="00010CC7"/>
    <w:rsid w:val="000116EB"/>
    <w:rsid w:val="00011860"/>
    <w:rsid w:val="00011B8B"/>
    <w:rsid w:val="00011CAE"/>
    <w:rsid w:val="00012139"/>
    <w:rsid w:val="000121D6"/>
    <w:rsid w:val="0001268F"/>
    <w:rsid w:val="00012691"/>
    <w:rsid w:val="00013735"/>
    <w:rsid w:val="000144ED"/>
    <w:rsid w:val="0001469A"/>
    <w:rsid w:val="00014B0B"/>
    <w:rsid w:val="000153B7"/>
    <w:rsid w:val="000155E7"/>
    <w:rsid w:val="000166EA"/>
    <w:rsid w:val="00016D6B"/>
    <w:rsid w:val="0001765A"/>
    <w:rsid w:val="00017E95"/>
    <w:rsid w:val="00021412"/>
    <w:rsid w:val="00021C81"/>
    <w:rsid w:val="00022CB4"/>
    <w:rsid w:val="000233DC"/>
    <w:rsid w:val="0002343E"/>
    <w:rsid w:val="0002360B"/>
    <w:rsid w:val="0002375D"/>
    <w:rsid w:val="00023A8F"/>
    <w:rsid w:val="00024C74"/>
    <w:rsid w:val="0002587C"/>
    <w:rsid w:val="000258BD"/>
    <w:rsid w:val="000261A9"/>
    <w:rsid w:val="0002622C"/>
    <w:rsid w:val="00026C90"/>
    <w:rsid w:val="00027B16"/>
    <w:rsid w:val="0003018C"/>
    <w:rsid w:val="0003059A"/>
    <w:rsid w:val="00030A2F"/>
    <w:rsid w:val="00030D2D"/>
    <w:rsid w:val="00030F15"/>
    <w:rsid w:val="00031183"/>
    <w:rsid w:val="00031C70"/>
    <w:rsid w:val="0003255E"/>
    <w:rsid w:val="00032AFB"/>
    <w:rsid w:val="00033426"/>
    <w:rsid w:val="00033E1B"/>
    <w:rsid w:val="0003404E"/>
    <w:rsid w:val="000340EB"/>
    <w:rsid w:val="00035F7E"/>
    <w:rsid w:val="00036AA7"/>
    <w:rsid w:val="00036CE2"/>
    <w:rsid w:val="00036DF8"/>
    <w:rsid w:val="00037633"/>
    <w:rsid w:val="0004023C"/>
    <w:rsid w:val="000406A8"/>
    <w:rsid w:val="00040BB7"/>
    <w:rsid w:val="00040DAC"/>
    <w:rsid w:val="00040E9A"/>
    <w:rsid w:val="00041639"/>
    <w:rsid w:val="00041EA0"/>
    <w:rsid w:val="00042177"/>
    <w:rsid w:val="00042399"/>
    <w:rsid w:val="0004293A"/>
    <w:rsid w:val="0004326F"/>
    <w:rsid w:val="00043946"/>
    <w:rsid w:val="0004406D"/>
    <w:rsid w:val="00044B82"/>
    <w:rsid w:val="00044DFD"/>
    <w:rsid w:val="00045716"/>
    <w:rsid w:val="000458D8"/>
    <w:rsid w:val="000462E8"/>
    <w:rsid w:val="00046990"/>
    <w:rsid w:val="00047202"/>
    <w:rsid w:val="0004789C"/>
    <w:rsid w:val="00050542"/>
    <w:rsid w:val="000514FC"/>
    <w:rsid w:val="00051DC6"/>
    <w:rsid w:val="0005278A"/>
    <w:rsid w:val="000532A0"/>
    <w:rsid w:val="0005361F"/>
    <w:rsid w:val="0005364D"/>
    <w:rsid w:val="00053925"/>
    <w:rsid w:val="00053C58"/>
    <w:rsid w:val="00053E90"/>
    <w:rsid w:val="00054C1C"/>
    <w:rsid w:val="00054F39"/>
    <w:rsid w:val="000550F5"/>
    <w:rsid w:val="000561BA"/>
    <w:rsid w:val="000563C4"/>
    <w:rsid w:val="000564F5"/>
    <w:rsid w:val="00056E4D"/>
    <w:rsid w:val="000570E8"/>
    <w:rsid w:val="0005734B"/>
    <w:rsid w:val="00057776"/>
    <w:rsid w:val="00057BAD"/>
    <w:rsid w:val="000600F1"/>
    <w:rsid w:val="00061484"/>
    <w:rsid w:val="000625C5"/>
    <w:rsid w:val="0006338F"/>
    <w:rsid w:val="00063AEA"/>
    <w:rsid w:val="00063CC5"/>
    <w:rsid w:val="0006430B"/>
    <w:rsid w:val="00064728"/>
    <w:rsid w:val="00064CEA"/>
    <w:rsid w:val="00065304"/>
    <w:rsid w:val="00065DBE"/>
    <w:rsid w:val="00065E09"/>
    <w:rsid w:val="00066523"/>
    <w:rsid w:val="00066635"/>
    <w:rsid w:val="000669CA"/>
    <w:rsid w:val="00066D6F"/>
    <w:rsid w:val="00066EB5"/>
    <w:rsid w:val="00067301"/>
    <w:rsid w:val="00070168"/>
    <w:rsid w:val="000703AE"/>
    <w:rsid w:val="000703E5"/>
    <w:rsid w:val="00070840"/>
    <w:rsid w:val="00070D21"/>
    <w:rsid w:val="0007123F"/>
    <w:rsid w:val="00071566"/>
    <w:rsid w:val="000719B0"/>
    <w:rsid w:val="00072C2E"/>
    <w:rsid w:val="000730EB"/>
    <w:rsid w:val="00073199"/>
    <w:rsid w:val="00073F4A"/>
    <w:rsid w:val="00074FA8"/>
    <w:rsid w:val="00075130"/>
    <w:rsid w:val="00075539"/>
    <w:rsid w:val="00075D37"/>
    <w:rsid w:val="00076708"/>
    <w:rsid w:val="00076768"/>
    <w:rsid w:val="00076C0B"/>
    <w:rsid w:val="00076F01"/>
    <w:rsid w:val="00077530"/>
    <w:rsid w:val="00077D64"/>
    <w:rsid w:val="00080172"/>
    <w:rsid w:val="000801E7"/>
    <w:rsid w:val="000801F2"/>
    <w:rsid w:val="000808F8"/>
    <w:rsid w:val="000809CA"/>
    <w:rsid w:val="0008162C"/>
    <w:rsid w:val="00081D26"/>
    <w:rsid w:val="000822C8"/>
    <w:rsid w:val="00082C23"/>
    <w:rsid w:val="00083055"/>
    <w:rsid w:val="000837AD"/>
    <w:rsid w:val="00083AAC"/>
    <w:rsid w:val="000848F6"/>
    <w:rsid w:val="0008502B"/>
    <w:rsid w:val="0008613E"/>
    <w:rsid w:val="0008642F"/>
    <w:rsid w:val="000869BC"/>
    <w:rsid w:val="00087B0B"/>
    <w:rsid w:val="00090283"/>
    <w:rsid w:val="000907E1"/>
    <w:rsid w:val="00090A75"/>
    <w:rsid w:val="00090BC4"/>
    <w:rsid w:val="0009127B"/>
    <w:rsid w:val="000917C0"/>
    <w:rsid w:val="00091D8F"/>
    <w:rsid w:val="00092C6D"/>
    <w:rsid w:val="00094C7E"/>
    <w:rsid w:val="00095122"/>
    <w:rsid w:val="00095489"/>
    <w:rsid w:val="00095A3D"/>
    <w:rsid w:val="00095ED1"/>
    <w:rsid w:val="000961F7"/>
    <w:rsid w:val="00096438"/>
    <w:rsid w:val="00096D4C"/>
    <w:rsid w:val="0009719F"/>
    <w:rsid w:val="000A004F"/>
    <w:rsid w:val="000A1790"/>
    <w:rsid w:val="000A1DD1"/>
    <w:rsid w:val="000A205E"/>
    <w:rsid w:val="000A24BA"/>
    <w:rsid w:val="000A2C3A"/>
    <w:rsid w:val="000A2CF3"/>
    <w:rsid w:val="000A2D4D"/>
    <w:rsid w:val="000A40E3"/>
    <w:rsid w:val="000A496D"/>
    <w:rsid w:val="000A5075"/>
    <w:rsid w:val="000A5ED6"/>
    <w:rsid w:val="000A63D4"/>
    <w:rsid w:val="000A6B4B"/>
    <w:rsid w:val="000A73F7"/>
    <w:rsid w:val="000B036F"/>
    <w:rsid w:val="000B03BC"/>
    <w:rsid w:val="000B07CB"/>
    <w:rsid w:val="000B10F2"/>
    <w:rsid w:val="000B1822"/>
    <w:rsid w:val="000B1ED1"/>
    <w:rsid w:val="000B3183"/>
    <w:rsid w:val="000B32E6"/>
    <w:rsid w:val="000B4256"/>
    <w:rsid w:val="000B4293"/>
    <w:rsid w:val="000B42DA"/>
    <w:rsid w:val="000B43DC"/>
    <w:rsid w:val="000B43EE"/>
    <w:rsid w:val="000B48B2"/>
    <w:rsid w:val="000B48E5"/>
    <w:rsid w:val="000B4BB3"/>
    <w:rsid w:val="000B4F90"/>
    <w:rsid w:val="000B5149"/>
    <w:rsid w:val="000B55DB"/>
    <w:rsid w:val="000B5D56"/>
    <w:rsid w:val="000B6089"/>
    <w:rsid w:val="000B75F8"/>
    <w:rsid w:val="000B7699"/>
    <w:rsid w:val="000C01B0"/>
    <w:rsid w:val="000C0323"/>
    <w:rsid w:val="000C2197"/>
    <w:rsid w:val="000C2507"/>
    <w:rsid w:val="000C2529"/>
    <w:rsid w:val="000C3288"/>
    <w:rsid w:val="000C4C26"/>
    <w:rsid w:val="000C4DCF"/>
    <w:rsid w:val="000C5107"/>
    <w:rsid w:val="000C567A"/>
    <w:rsid w:val="000C581B"/>
    <w:rsid w:val="000C67F9"/>
    <w:rsid w:val="000C71F5"/>
    <w:rsid w:val="000C75D9"/>
    <w:rsid w:val="000D0500"/>
    <w:rsid w:val="000D06CE"/>
    <w:rsid w:val="000D0D49"/>
    <w:rsid w:val="000D1E94"/>
    <w:rsid w:val="000D1FEB"/>
    <w:rsid w:val="000D2504"/>
    <w:rsid w:val="000D2AC9"/>
    <w:rsid w:val="000D4D7A"/>
    <w:rsid w:val="000D5191"/>
    <w:rsid w:val="000D5662"/>
    <w:rsid w:val="000D65AB"/>
    <w:rsid w:val="000D69FA"/>
    <w:rsid w:val="000D7244"/>
    <w:rsid w:val="000D7619"/>
    <w:rsid w:val="000D7A4E"/>
    <w:rsid w:val="000D7EB9"/>
    <w:rsid w:val="000E007C"/>
    <w:rsid w:val="000E105F"/>
    <w:rsid w:val="000E189A"/>
    <w:rsid w:val="000E1DFB"/>
    <w:rsid w:val="000E235F"/>
    <w:rsid w:val="000E3BC3"/>
    <w:rsid w:val="000E45FE"/>
    <w:rsid w:val="000E59AA"/>
    <w:rsid w:val="000E5CBB"/>
    <w:rsid w:val="000E6879"/>
    <w:rsid w:val="000E6E8F"/>
    <w:rsid w:val="000E700D"/>
    <w:rsid w:val="000E7488"/>
    <w:rsid w:val="000E7A4C"/>
    <w:rsid w:val="000F00F0"/>
    <w:rsid w:val="000F0323"/>
    <w:rsid w:val="000F03B6"/>
    <w:rsid w:val="000F06C9"/>
    <w:rsid w:val="000F1285"/>
    <w:rsid w:val="000F136C"/>
    <w:rsid w:val="000F14FB"/>
    <w:rsid w:val="000F2942"/>
    <w:rsid w:val="000F296A"/>
    <w:rsid w:val="000F2D08"/>
    <w:rsid w:val="000F318E"/>
    <w:rsid w:val="000F3624"/>
    <w:rsid w:val="000F37C5"/>
    <w:rsid w:val="000F3FE3"/>
    <w:rsid w:val="000F41A0"/>
    <w:rsid w:val="000F4D3B"/>
    <w:rsid w:val="000F508C"/>
    <w:rsid w:val="000F56F3"/>
    <w:rsid w:val="000F62B3"/>
    <w:rsid w:val="000F6730"/>
    <w:rsid w:val="000F6EAB"/>
    <w:rsid w:val="000F7557"/>
    <w:rsid w:val="000F760F"/>
    <w:rsid w:val="000F770F"/>
    <w:rsid w:val="000F7A49"/>
    <w:rsid w:val="000F7CCD"/>
    <w:rsid w:val="001007BC"/>
    <w:rsid w:val="00100D87"/>
    <w:rsid w:val="0010104F"/>
    <w:rsid w:val="00101440"/>
    <w:rsid w:val="00101985"/>
    <w:rsid w:val="001019B5"/>
    <w:rsid w:val="00102AF9"/>
    <w:rsid w:val="001030E8"/>
    <w:rsid w:val="001030F6"/>
    <w:rsid w:val="001038F2"/>
    <w:rsid w:val="001038F8"/>
    <w:rsid w:val="00103B9F"/>
    <w:rsid w:val="0010453D"/>
    <w:rsid w:val="00104BB2"/>
    <w:rsid w:val="001066E0"/>
    <w:rsid w:val="00107834"/>
    <w:rsid w:val="00107F1D"/>
    <w:rsid w:val="00110FF6"/>
    <w:rsid w:val="00112948"/>
    <w:rsid w:val="00113363"/>
    <w:rsid w:val="00113CB1"/>
    <w:rsid w:val="0011455C"/>
    <w:rsid w:val="0011463D"/>
    <w:rsid w:val="00114C3D"/>
    <w:rsid w:val="00115E10"/>
    <w:rsid w:val="00117C58"/>
    <w:rsid w:val="00120615"/>
    <w:rsid w:val="00121517"/>
    <w:rsid w:val="00122301"/>
    <w:rsid w:val="001223D2"/>
    <w:rsid w:val="00123200"/>
    <w:rsid w:val="00123288"/>
    <w:rsid w:val="001243F4"/>
    <w:rsid w:val="00125378"/>
    <w:rsid w:val="00125622"/>
    <w:rsid w:val="00125C63"/>
    <w:rsid w:val="00126155"/>
    <w:rsid w:val="00126512"/>
    <w:rsid w:val="0012766A"/>
    <w:rsid w:val="00130401"/>
    <w:rsid w:val="0013060D"/>
    <w:rsid w:val="00130785"/>
    <w:rsid w:val="00130A50"/>
    <w:rsid w:val="001315AD"/>
    <w:rsid w:val="001320AB"/>
    <w:rsid w:val="001321D3"/>
    <w:rsid w:val="001324CC"/>
    <w:rsid w:val="00132F23"/>
    <w:rsid w:val="00133B39"/>
    <w:rsid w:val="00134825"/>
    <w:rsid w:val="00134E64"/>
    <w:rsid w:val="001358D9"/>
    <w:rsid w:val="00135A7A"/>
    <w:rsid w:val="00135CA4"/>
    <w:rsid w:val="00136357"/>
    <w:rsid w:val="00136720"/>
    <w:rsid w:val="001369F8"/>
    <w:rsid w:val="0013714D"/>
    <w:rsid w:val="001376EB"/>
    <w:rsid w:val="00137886"/>
    <w:rsid w:val="00137D4B"/>
    <w:rsid w:val="00137E17"/>
    <w:rsid w:val="0014052B"/>
    <w:rsid w:val="001407F0"/>
    <w:rsid w:val="00141293"/>
    <w:rsid w:val="0014196C"/>
    <w:rsid w:val="00141B4D"/>
    <w:rsid w:val="00142312"/>
    <w:rsid w:val="00142322"/>
    <w:rsid w:val="00142576"/>
    <w:rsid w:val="00142FDC"/>
    <w:rsid w:val="001430A0"/>
    <w:rsid w:val="00144354"/>
    <w:rsid w:val="00144977"/>
    <w:rsid w:val="00144EFD"/>
    <w:rsid w:val="00145647"/>
    <w:rsid w:val="00145722"/>
    <w:rsid w:val="0014573C"/>
    <w:rsid w:val="00145C70"/>
    <w:rsid w:val="00145E67"/>
    <w:rsid w:val="00146A3A"/>
    <w:rsid w:val="00146B4D"/>
    <w:rsid w:val="001473AB"/>
    <w:rsid w:val="001474C8"/>
    <w:rsid w:val="0015014A"/>
    <w:rsid w:val="0015042A"/>
    <w:rsid w:val="001505FE"/>
    <w:rsid w:val="00151166"/>
    <w:rsid w:val="001517B1"/>
    <w:rsid w:val="00151A4F"/>
    <w:rsid w:val="0015251D"/>
    <w:rsid w:val="00152BB7"/>
    <w:rsid w:val="00153053"/>
    <w:rsid w:val="00153F7F"/>
    <w:rsid w:val="00155879"/>
    <w:rsid w:val="00156072"/>
    <w:rsid w:val="001567AB"/>
    <w:rsid w:val="001568E6"/>
    <w:rsid w:val="00156C4C"/>
    <w:rsid w:val="001570E2"/>
    <w:rsid w:val="00160173"/>
    <w:rsid w:val="0016095F"/>
    <w:rsid w:val="001621B4"/>
    <w:rsid w:val="001629BC"/>
    <w:rsid w:val="00164DEE"/>
    <w:rsid w:val="00164F42"/>
    <w:rsid w:val="0016503A"/>
    <w:rsid w:val="0016593C"/>
    <w:rsid w:val="0016672C"/>
    <w:rsid w:val="00166ABB"/>
    <w:rsid w:val="0016753F"/>
    <w:rsid w:val="00167CCC"/>
    <w:rsid w:val="0017026E"/>
    <w:rsid w:val="00170633"/>
    <w:rsid w:val="001720A9"/>
    <w:rsid w:val="001723D7"/>
    <w:rsid w:val="0017298A"/>
    <w:rsid w:val="00172A4B"/>
    <w:rsid w:val="00173303"/>
    <w:rsid w:val="00173C52"/>
    <w:rsid w:val="0017400D"/>
    <w:rsid w:val="001740DB"/>
    <w:rsid w:val="001742F5"/>
    <w:rsid w:val="00174C35"/>
    <w:rsid w:val="001807D4"/>
    <w:rsid w:val="0018119D"/>
    <w:rsid w:val="0018206B"/>
    <w:rsid w:val="00182190"/>
    <w:rsid w:val="0018231F"/>
    <w:rsid w:val="00183476"/>
    <w:rsid w:val="0018368E"/>
    <w:rsid w:val="001842D7"/>
    <w:rsid w:val="001849FD"/>
    <w:rsid w:val="00184AFE"/>
    <w:rsid w:val="00185307"/>
    <w:rsid w:val="00186179"/>
    <w:rsid w:val="00186E0B"/>
    <w:rsid w:val="00186E9C"/>
    <w:rsid w:val="00190982"/>
    <w:rsid w:val="00190CEC"/>
    <w:rsid w:val="0019119E"/>
    <w:rsid w:val="001915F4"/>
    <w:rsid w:val="00191799"/>
    <w:rsid w:val="00191CBE"/>
    <w:rsid w:val="00192C7F"/>
    <w:rsid w:val="00193450"/>
    <w:rsid w:val="001948B4"/>
    <w:rsid w:val="00194D2F"/>
    <w:rsid w:val="001959B4"/>
    <w:rsid w:val="00195A22"/>
    <w:rsid w:val="00196563"/>
    <w:rsid w:val="00196D14"/>
    <w:rsid w:val="00196DB0"/>
    <w:rsid w:val="0019745A"/>
    <w:rsid w:val="00197D61"/>
    <w:rsid w:val="001A01C8"/>
    <w:rsid w:val="001A0D8B"/>
    <w:rsid w:val="001A142A"/>
    <w:rsid w:val="001A2707"/>
    <w:rsid w:val="001A2DBA"/>
    <w:rsid w:val="001A3032"/>
    <w:rsid w:val="001A3243"/>
    <w:rsid w:val="001A337B"/>
    <w:rsid w:val="001A3519"/>
    <w:rsid w:val="001A37C4"/>
    <w:rsid w:val="001A42DA"/>
    <w:rsid w:val="001A4385"/>
    <w:rsid w:val="001A4452"/>
    <w:rsid w:val="001A4E32"/>
    <w:rsid w:val="001A5696"/>
    <w:rsid w:val="001A5FB3"/>
    <w:rsid w:val="001A706C"/>
    <w:rsid w:val="001A71B8"/>
    <w:rsid w:val="001A7970"/>
    <w:rsid w:val="001A7991"/>
    <w:rsid w:val="001B0193"/>
    <w:rsid w:val="001B0299"/>
    <w:rsid w:val="001B04CA"/>
    <w:rsid w:val="001B097F"/>
    <w:rsid w:val="001B14AD"/>
    <w:rsid w:val="001B159A"/>
    <w:rsid w:val="001B200F"/>
    <w:rsid w:val="001B452F"/>
    <w:rsid w:val="001B46BB"/>
    <w:rsid w:val="001B5063"/>
    <w:rsid w:val="001B52BB"/>
    <w:rsid w:val="001B6B58"/>
    <w:rsid w:val="001B73EE"/>
    <w:rsid w:val="001C00BD"/>
    <w:rsid w:val="001C0666"/>
    <w:rsid w:val="001C0842"/>
    <w:rsid w:val="001C0E9A"/>
    <w:rsid w:val="001C13D6"/>
    <w:rsid w:val="001C157D"/>
    <w:rsid w:val="001C1704"/>
    <w:rsid w:val="001C1738"/>
    <w:rsid w:val="001C1A52"/>
    <w:rsid w:val="001C1D9E"/>
    <w:rsid w:val="001C22A4"/>
    <w:rsid w:val="001C24F4"/>
    <w:rsid w:val="001C3348"/>
    <w:rsid w:val="001C4285"/>
    <w:rsid w:val="001C4ACA"/>
    <w:rsid w:val="001C4CD3"/>
    <w:rsid w:val="001C4F39"/>
    <w:rsid w:val="001C5555"/>
    <w:rsid w:val="001C579A"/>
    <w:rsid w:val="001C63F8"/>
    <w:rsid w:val="001C6C9A"/>
    <w:rsid w:val="001C73F4"/>
    <w:rsid w:val="001C7801"/>
    <w:rsid w:val="001C782E"/>
    <w:rsid w:val="001C7D66"/>
    <w:rsid w:val="001D0C96"/>
    <w:rsid w:val="001D19CC"/>
    <w:rsid w:val="001D2DEF"/>
    <w:rsid w:val="001D2ECD"/>
    <w:rsid w:val="001D33C7"/>
    <w:rsid w:val="001D35F3"/>
    <w:rsid w:val="001D3C0C"/>
    <w:rsid w:val="001D44DD"/>
    <w:rsid w:val="001D5049"/>
    <w:rsid w:val="001D5EF7"/>
    <w:rsid w:val="001D65F2"/>
    <w:rsid w:val="001D6771"/>
    <w:rsid w:val="001D6FB8"/>
    <w:rsid w:val="001D792B"/>
    <w:rsid w:val="001D7ADC"/>
    <w:rsid w:val="001D7C2B"/>
    <w:rsid w:val="001E128E"/>
    <w:rsid w:val="001E15A9"/>
    <w:rsid w:val="001E15ED"/>
    <w:rsid w:val="001E165A"/>
    <w:rsid w:val="001E1E9F"/>
    <w:rsid w:val="001E2BFB"/>
    <w:rsid w:val="001E39F5"/>
    <w:rsid w:val="001E3B0A"/>
    <w:rsid w:val="001E3DF5"/>
    <w:rsid w:val="001E45AC"/>
    <w:rsid w:val="001E486D"/>
    <w:rsid w:val="001E4A7D"/>
    <w:rsid w:val="001E6484"/>
    <w:rsid w:val="001F01F4"/>
    <w:rsid w:val="001F0EDD"/>
    <w:rsid w:val="001F0F78"/>
    <w:rsid w:val="001F1398"/>
    <w:rsid w:val="001F140E"/>
    <w:rsid w:val="001F1995"/>
    <w:rsid w:val="001F23B1"/>
    <w:rsid w:val="001F2797"/>
    <w:rsid w:val="001F2BED"/>
    <w:rsid w:val="001F2F54"/>
    <w:rsid w:val="001F42AC"/>
    <w:rsid w:val="001F462B"/>
    <w:rsid w:val="001F4910"/>
    <w:rsid w:val="001F5078"/>
    <w:rsid w:val="001F54C9"/>
    <w:rsid w:val="001F65C8"/>
    <w:rsid w:val="001F6819"/>
    <w:rsid w:val="001F68D5"/>
    <w:rsid w:val="001F73E9"/>
    <w:rsid w:val="001F7E66"/>
    <w:rsid w:val="00200577"/>
    <w:rsid w:val="00200620"/>
    <w:rsid w:val="002017EB"/>
    <w:rsid w:val="0020194E"/>
    <w:rsid w:val="00201F46"/>
    <w:rsid w:val="00202314"/>
    <w:rsid w:val="0020273F"/>
    <w:rsid w:val="00203162"/>
    <w:rsid w:val="002036F0"/>
    <w:rsid w:val="00203A6D"/>
    <w:rsid w:val="00203E14"/>
    <w:rsid w:val="00203FDB"/>
    <w:rsid w:val="0020490D"/>
    <w:rsid w:val="002050A1"/>
    <w:rsid w:val="0020589F"/>
    <w:rsid w:val="00205C41"/>
    <w:rsid w:val="00205F88"/>
    <w:rsid w:val="0020666F"/>
    <w:rsid w:val="00206811"/>
    <w:rsid w:val="002075F0"/>
    <w:rsid w:val="00207631"/>
    <w:rsid w:val="00207DC7"/>
    <w:rsid w:val="00210130"/>
    <w:rsid w:val="0021015B"/>
    <w:rsid w:val="00210DBD"/>
    <w:rsid w:val="00211432"/>
    <w:rsid w:val="002116D8"/>
    <w:rsid w:val="00211A84"/>
    <w:rsid w:val="0021234D"/>
    <w:rsid w:val="0021279F"/>
    <w:rsid w:val="00212B6E"/>
    <w:rsid w:val="00213137"/>
    <w:rsid w:val="00213916"/>
    <w:rsid w:val="00213A3C"/>
    <w:rsid w:val="00213C91"/>
    <w:rsid w:val="00214131"/>
    <w:rsid w:val="0021431B"/>
    <w:rsid w:val="00214953"/>
    <w:rsid w:val="00214DDE"/>
    <w:rsid w:val="00214EB7"/>
    <w:rsid w:val="00214F3E"/>
    <w:rsid w:val="00214F86"/>
    <w:rsid w:val="0021550A"/>
    <w:rsid w:val="002162A9"/>
    <w:rsid w:val="002178E9"/>
    <w:rsid w:val="00217ACC"/>
    <w:rsid w:val="00217B15"/>
    <w:rsid w:val="00220995"/>
    <w:rsid w:val="002215AB"/>
    <w:rsid w:val="00221695"/>
    <w:rsid w:val="0022296B"/>
    <w:rsid w:val="00222BA9"/>
    <w:rsid w:val="00222CA9"/>
    <w:rsid w:val="00223589"/>
    <w:rsid w:val="00223789"/>
    <w:rsid w:val="00224321"/>
    <w:rsid w:val="00224794"/>
    <w:rsid w:val="00224B49"/>
    <w:rsid w:val="00225EB3"/>
    <w:rsid w:val="002260D0"/>
    <w:rsid w:val="002273FD"/>
    <w:rsid w:val="002304BC"/>
    <w:rsid w:val="00230E4A"/>
    <w:rsid w:val="00231005"/>
    <w:rsid w:val="00231367"/>
    <w:rsid w:val="00231BB3"/>
    <w:rsid w:val="00231C01"/>
    <w:rsid w:val="00231E25"/>
    <w:rsid w:val="0023472C"/>
    <w:rsid w:val="002348AD"/>
    <w:rsid w:val="00235130"/>
    <w:rsid w:val="002355EA"/>
    <w:rsid w:val="00235763"/>
    <w:rsid w:val="00235936"/>
    <w:rsid w:val="00235B7D"/>
    <w:rsid w:val="00235F14"/>
    <w:rsid w:val="00235FF4"/>
    <w:rsid w:val="002367F8"/>
    <w:rsid w:val="00236812"/>
    <w:rsid w:val="00236B3A"/>
    <w:rsid w:val="0023712D"/>
    <w:rsid w:val="00237658"/>
    <w:rsid w:val="00237BE7"/>
    <w:rsid w:val="00237D5A"/>
    <w:rsid w:val="0024042B"/>
    <w:rsid w:val="0024118E"/>
    <w:rsid w:val="00241EA4"/>
    <w:rsid w:val="0024341C"/>
    <w:rsid w:val="002436A7"/>
    <w:rsid w:val="00243965"/>
    <w:rsid w:val="0024416D"/>
    <w:rsid w:val="002452AB"/>
    <w:rsid w:val="0024545F"/>
    <w:rsid w:val="002457B7"/>
    <w:rsid w:val="00246415"/>
    <w:rsid w:val="002467C1"/>
    <w:rsid w:val="002469E8"/>
    <w:rsid w:val="00251B32"/>
    <w:rsid w:val="00251E3E"/>
    <w:rsid w:val="0025214C"/>
    <w:rsid w:val="002523B8"/>
    <w:rsid w:val="0025273D"/>
    <w:rsid w:val="00252E9F"/>
    <w:rsid w:val="00253105"/>
    <w:rsid w:val="0025331B"/>
    <w:rsid w:val="00253B71"/>
    <w:rsid w:val="002544C1"/>
    <w:rsid w:val="00254669"/>
    <w:rsid w:val="0025468D"/>
    <w:rsid w:val="00257C19"/>
    <w:rsid w:val="00260662"/>
    <w:rsid w:val="0026075A"/>
    <w:rsid w:val="00260A97"/>
    <w:rsid w:val="00261356"/>
    <w:rsid w:val="002627F3"/>
    <w:rsid w:val="0026411C"/>
    <w:rsid w:val="0026440B"/>
    <w:rsid w:val="002644CF"/>
    <w:rsid w:val="00264757"/>
    <w:rsid w:val="00265B8C"/>
    <w:rsid w:val="00265F45"/>
    <w:rsid w:val="0026630C"/>
    <w:rsid w:val="002666A3"/>
    <w:rsid w:val="002668C2"/>
    <w:rsid w:val="002669D0"/>
    <w:rsid w:val="00266A59"/>
    <w:rsid w:val="002709E4"/>
    <w:rsid w:val="0027108C"/>
    <w:rsid w:val="002710A2"/>
    <w:rsid w:val="002715EB"/>
    <w:rsid w:val="002724F6"/>
    <w:rsid w:val="002726AD"/>
    <w:rsid w:val="002726C5"/>
    <w:rsid w:val="00273000"/>
    <w:rsid w:val="00274B05"/>
    <w:rsid w:val="00274DFA"/>
    <w:rsid w:val="0027546E"/>
    <w:rsid w:val="002754E8"/>
    <w:rsid w:val="00276167"/>
    <w:rsid w:val="00276197"/>
    <w:rsid w:val="0027679D"/>
    <w:rsid w:val="00277018"/>
    <w:rsid w:val="002773E6"/>
    <w:rsid w:val="00277FB2"/>
    <w:rsid w:val="00281281"/>
    <w:rsid w:val="00281BFA"/>
    <w:rsid w:val="00281E44"/>
    <w:rsid w:val="00282E76"/>
    <w:rsid w:val="00282FA2"/>
    <w:rsid w:val="00283D6D"/>
    <w:rsid w:val="0028567D"/>
    <w:rsid w:val="002868F8"/>
    <w:rsid w:val="00287366"/>
    <w:rsid w:val="00287E9B"/>
    <w:rsid w:val="00287F3E"/>
    <w:rsid w:val="002900A5"/>
    <w:rsid w:val="00292332"/>
    <w:rsid w:val="00292EB3"/>
    <w:rsid w:val="002932CB"/>
    <w:rsid w:val="00293C00"/>
    <w:rsid w:val="00293C91"/>
    <w:rsid w:val="00294BAC"/>
    <w:rsid w:val="00294C17"/>
    <w:rsid w:val="00294FDE"/>
    <w:rsid w:val="00296599"/>
    <w:rsid w:val="002966A1"/>
    <w:rsid w:val="00296D8A"/>
    <w:rsid w:val="00296ED6"/>
    <w:rsid w:val="002973AC"/>
    <w:rsid w:val="00297638"/>
    <w:rsid w:val="002A092D"/>
    <w:rsid w:val="002A0DE4"/>
    <w:rsid w:val="002A0EC7"/>
    <w:rsid w:val="002A1633"/>
    <w:rsid w:val="002A191F"/>
    <w:rsid w:val="002A1D3A"/>
    <w:rsid w:val="002A21C4"/>
    <w:rsid w:val="002A2345"/>
    <w:rsid w:val="002A2893"/>
    <w:rsid w:val="002A2AF2"/>
    <w:rsid w:val="002A3BA4"/>
    <w:rsid w:val="002A4D08"/>
    <w:rsid w:val="002A52C4"/>
    <w:rsid w:val="002A5AE7"/>
    <w:rsid w:val="002A6483"/>
    <w:rsid w:val="002A66DF"/>
    <w:rsid w:val="002A69BE"/>
    <w:rsid w:val="002A6D53"/>
    <w:rsid w:val="002A7A14"/>
    <w:rsid w:val="002A7C39"/>
    <w:rsid w:val="002B0B2D"/>
    <w:rsid w:val="002B1371"/>
    <w:rsid w:val="002B1D31"/>
    <w:rsid w:val="002B2D54"/>
    <w:rsid w:val="002B2E01"/>
    <w:rsid w:val="002B3A14"/>
    <w:rsid w:val="002B44D2"/>
    <w:rsid w:val="002B4EB4"/>
    <w:rsid w:val="002B5231"/>
    <w:rsid w:val="002B5562"/>
    <w:rsid w:val="002B5EAE"/>
    <w:rsid w:val="002B602A"/>
    <w:rsid w:val="002B67D4"/>
    <w:rsid w:val="002B6BA2"/>
    <w:rsid w:val="002B7536"/>
    <w:rsid w:val="002B79BC"/>
    <w:rsid w:val="002C052C"/>
    <w:rsid w:val="002C12FE"/>
    <w:rsid w:val="002C1925"/>
    <w:rsid w:val="002C1B99"/>
    <w:rsid w:val="002C272B"/>
    <w:rsid w:val="002C2C84"/>
    <w:rsid w:val="002C2FA1"/>
    <w:rsid w:val="002C32E6"/>
    <w:rsid w:val="002C34C2"/>
    <w:rsid w:val="002C3E8C"/>
    <w:rsid w:val="002C52E3"/>
    <w:rsid w:val="002C5D6E"/>
    <w:rsid w:val="002C6207"/>
    <w:rsid w:val="002C6288"/>
    <w:rsid w:val="002C668E"/>
    <w:rsid w:val="002C7B3E"/>
    <w:rsid w:val="002D03E8"/>
    <w:rsid w:val="002D0729"/>
    <w:rsid w:val="002D0BD7"/>
    <w:rsid w:val="002D1118"/>
    <w:rsid w:val="002D1178"/>
    <w:rsid w:val="002D16FF"/>
    <w:rsid w:val="002D201D"/>
    <w:rsid w:val="002D229F"/>
    <w:rsid w:val="002D237B"/>
    <w:rsid w:val="002D23BC"/>
    <w:rsid w:val="002D24D0"/>
    <w:rsid w:val="002D3D31"/>
    <w:rsid w:val="002D5352"/>
    <w:rsid w:val="002D5D69"/>
    <w:rsid w:val="002D61A2"/>
    <w:rsid w:val="002D6566"/>
    <w:rsid w:val="002D6E58"/>
    <w:rsid w:val="002D7B92"/>
    <w:rsid w:val="002E097B"/>
    <w:rsid w:val="002E11DB"/>
    <w:rsid w:val="002E181E"/>
    <w:rsid w:val="002E1EA6"/>
    <w:rsid w:val="002E2239"/>
    <w:rsid w:val="002E27CC"/>
    <w:rsid w:val="002E3802"/>
    <w:rsid w:val="002E3BD1"/>
    <w:rsid w:val="002E402B"/>
    <w:rsid w:val="002E404D"/>
    <w:rsid w:val="002E466E"/>
    <w:rsid w:val="002E4E34"/>
    <w:rsid w:val="002E559B"/>
    <w:rsid w:val="002E5BDD"/>
    <w:rsid w:val="002E6639"/>
    <w:rsid w:val="002E6ED5"/>
    <w:rsid w:val="002E784F"/>
    <w:rsid w:val="002E797A"/>
    <w:rsid w:val="002E7B4E"/>
    <w:rsid w:val="002F0404"/>
    <w:rsid w:val="002F0810"/>
    <w:rsid w:val="002F0839"/>
    <w:rsid w:val="002F0C71"/>
    <w:rsid w:val="002F2B40"/>
    <w:rsid w:val="002F4AD4"/>
    <w:rsid w:val="002F587F"/>
    <w:rsid w:val="002F664E"/>
    <w:rsid w:val="002F73FE"/>
    <w:rsid w:val="002F756A"/>
    <w:rsid w:val="002F78D1"/>
    <w:rsid w:val="003003A6"/>
    <w:rsid w:val="003003D7"/>
    <w:rsid w:val="003004D7"/>
    <w:rsid w:val="00300EA5"/>
    <w:rsid w:val="00301B7D"/>
    <w:rsid w:val="00301DD5"/>
    <w:rsid w:val="003032A6"/>
    <w:rsid w:val="00304657"/>
    <w:rsid w:val="00304DDA"/>
    <w:rsid w:val="003053A6"/>
    <w:rsid w:val="00305D6A"/>
    <w:rsid w:val="00305E2C"/>
    <w:rsid w:val="0030680C"/>
    <w:rsid w:val="00306EC8"/>
    <w:rsid w:val="003072B3"/>
    <w:rsid w:val="003073D7"/>
    <w:rsid w:val="0030763D"/>
    <w:rsid w:val="00307CB6"/>
    <w:rsid w:val="00307E33"/>
    <w:rsid w:val="003106FB"/>
    <w:rsid w:val="00310D80"/>
    <w:rsid w:val="0031101B"/>
    <w:rsid w:val="00311786"/>
    <w:rsid w:val="003122F9"/>
    <w:rsid w:val="00312A9B"/>
    <w:rsid w:val="00312FD7"/>
    <w:rsid w:val="00313252"/>
    <w:rsid w:val="00313442"/>
    <w:rsid w:val="003136DC"/>
    <w:rsid w:val="00313A76"/>
    <w:rsid w:val="00313B5E"/>
    <w:rsid w:val="00313F04"/>
    <w:rsid w:val="00313F5F"/>
    <w:rsid w:val="00314305"/>
    <w:rsid w:val="00314AEA"/>
    <w:rsid w:val="003159F3"/>
    <w:rsid w:val="00315D4A"/>
    <w:rsid w:val="003161D1"/>
    <w:rsid w:val="00316F70"/>
    <w:rsid w:val="003176F0"/>
    <w:rsid w:val="003177CB"/>
    <w:rsid w:val="00317B09"/>
    <w:rsid w:val="0032058C"/>
    <w:rsid w:val="00320902"/>
    <w:rsid w:val="0032150B"/>
    <w:rsid w:val="00321E61"/>
    <w:rsid w:val="00322B4E"/>
    <w:rsid w:val="003230D5"/>
    <w:rsid w:val="00323891"/>
    <w:rsid w:val="00324665"/>
    <w:rsid w:val="00324C7A"/>
    <w:rsid w:val="00324FD6"/>
    <w:rsid w:val="00326C24"/>
    <w:rsid w:val="00327FF2"/>
    <w:rsid w:val="00330BCE"/>
    <w:rsid w:val="00332A54"/>
    <w:rsid w:val="00332F22"/>
    <w:rsid w:val="003337BF"/>
    <w:rsid w:val="00333BB0"/>
    <w:rsid w:val="00333BBC"/>
    <w:rsid w:val="00334B73"/>
    <w:rsid w:val="00334C67"/>
    <w:rsid w:val="00335FE9"/>
    <w:rsid w:val="00336085"/>
    <w:rsid w:val="00336766"/>
    <w:rsid w:val="00336A8C"/>
    <w:rsid w:val="00340358"/>
    <w:rsid w:val="00340636"/>
    <w:rsid w:val="00340B28"/>
    <w:rsid w:val="00341EE9"/>
    <w:rsid w:val="003429C0"/>
    <w:rsid w:val="0034323F"/>
    <w:rsid w:val="003432DC"/>
    <w:rsid w:val="00343852"/>
    <w:rsid w:val="00343ED2"/>
    <w:rsid w:val="0034436B"/>
    <w:rsid w:val="00344573"/>
    <w:rsid w:val="00344F3A"/>
    <w:rsid w:val="003453C1"/>
    <w:rsid w:val="00345A66"/>
    <w:rsid w:val="00345AA2"/>
    <w:rsid w:val="003461EA"/>
    <w:rsid w:val="00346360"/>
    <w:rsid w:val="00346BB9"/>
    <w:rsid w:val="00346C01"/>
    <w:rsid w:val="003479C1"/>
    <w:rsid w:val="00347A1B"/>
    <w:rsid w:val="00350240"/>
    <w:rsid w:val="0035147A"/>
    <w:rsid w:val="00351CB5"/>
    <w:rsid w:val="00352144"/>
    <w:rsid w:val="003524B3"/>
    <w:rsid w:val="00352B3B"/>
    <w:rsid w:val="0035327C"/>
    <w:rsid w:val="00353499"/>
    <w:rsid w:val="00353CB6"/>
    <w:rsid w:val="00353EE2"/>
    <w:rsid w:val="00353F88"/>
    <w:rsid w:val="00354692"/>
    <w:rsid w:val="00354CC2"/>
    <w:rsid w:val="00355384"/>
    <w:rsid w:val="00355574"/>
    <w:rsid w:val="003564BA"/>
    <w:rsid w:val="0035680E"/>
    <w:rsid w:val="00356AD3"/>
    <w:rsid w:val="00356FBA"/>
    <w:rsid w:val="0035722C"/>
    <w:rsid w:val="00357393"/>
    <w:rsid w:val="00357D22"/>
    <w:rsid w:val="00357DAD"/>
    <w:rsid w:val="00357F5E"/>
    <w:rsid w:val="00360A11"/>
    <w:rsid w:val="0036166E"/>
    <w:rsid w:val="0036184C"/>
    <w:rsid w:val="00361F43"/>
    <w:rsid w:val="0036290C"/>
    <w:rsid w:val="00362A14"/>
    <w:rsid w:val="00363F31"/>
    <w:rsid w:val="00364084"/>
    <w:rsid w:val="0036441F"/>
    <w:rsid w:val="0036470C"/>
    <w:rsid w:val="00365F83"/>
    <w:rsid w:val="003664DC"/>
    <w:rsid w:val="00366C81"/>
    <w:rsid w:val="003670A5"/>
    <w:rsid w:val="003701F5"/>
    <w:rsid w:val="00370683"/>
    <w:rsid w:val="003708E4"/>
    <w:rsid w:val="00371DBE"/>
    <w:rsid w:val="003722E4"/>
    <w:rsid w:val="00372811"/>
    <w:rsid w:val="00372EC5"/>
    <w:rsid w:val="0037328B"/>
    <w:rsid w:val="0037331E"/>
    <w:rsid w:val="00373628"/>
    <w:rsid w:val="003737F8"/>
    <w:rsid w:val="003739AB"/>
    <w:rsid w:val="0037407C"/>
    <w:rsid w:val="0037517D"/>
    <w:rsid w:val="0037613F"/>
    <w:rsid w:val="00376749"/>
    <w:rsid w:val="00377385"/>
    <w:rsid w:val="0037741A"/>
    <w:rsid w:val="00377D82"/>
    <w:rsid w:val="00377F5D"/>
    <w:rsid w:val="00380127"/>
    <w:rsid w:val="003805F3"/>
    <w:rsid w:val="00380654"/>
    <w:rsid w:val="003810E9"/>
    <w:rsid w:val="003825D2"/>
    <w:rsid w:val="00382C6A"/>
    <w:rsid w:val="00382CB2"/>
    <w:rsid w:val="00383196"/>
    <w:rsid w:val="00383395"/>
    <w:rsid w:val="003833A0"/>
    <w:rsid w:val="003840CD"/>
    <w:rsid w:val="0038424D"/>
    <w:rsid w:val="003843E7"/>
    <w:rsid w:val="00386672"/>
    <w:rsid w:val="00386DED"/>
    <w:rsid w:val="003875E3"/>
    <w:rsid w:val="003877E3"/>
    <w:rsid w:val="00387A0C"/>
    <w:rsid w:val="0039063B"/>
    <w:rsid w:val="00391027"/>
    <w:rsid w:val="00392925"/>
    <w:rsid w:val="003929D3"/>
    <w:rsid w:val="00392BF8"/>
    <w:rsid w:val="00392CEB"/>
    <w:rsid w:val="003932CD"/>
    <w:rsid w:val="00393405"/>
    <w:rsid w:val="00393EE5"/>
    <w:rsid w:val="00394295"/>
    <w:rsid w:val="00394A4D"/>
    <w:rsid w:val="00394BED"/>
    <w:rsid w:val="00394C18"/>
    <w:rsid w:val="00394D42"/>
    <w:rsid w:val="003951B4"/>
    <w:rsid w:val="00395304"/>
    <w:rsid w:val="00395605"/>
    <w:rsid w:val="00395D04"/>
    <w:rsid w:val="00395E2D"/>
    <w:rsid w:val="003962CA"/>
    <w:rsid w:val="003966B0"/>
    <w:rsid w:val="0039761E"/>
    <w:rsid w:val="003A0255"/>
    <w:rsid w:val="003A0E8C"/>
    <w:rsid w:val="003A11A6"/>
    <w:rsid w:val="003A3884"/>
    <w:rsid w:val="003A3BEF"/>
    <w:rsid w:val="003A5070"/>
    <w:rsid w:val="003A5224"/>
    <w:rsid w:val="003A5CA6"/>
    <w:rsid w:val="003A5EAF"/>
    <w:rsid w:val="003A6DC8"/>
    <w:rsid w:val="003A74A7"/>
    <w:rsid w:val="003B02DF"/>
    <w:rsid w:val="003B0683"/>
    <w:rsid w:val="003B0D10"/>
    <w:rsid w:val="003B168E"/>
    <w:rsid w:val="003B19B4"/>
    <w:rsid w:val="003B21E4"/>
    <w:rsid w:val="003B2588"/>
    <w:rsid w:val="003B2A22"/>
    <w:rsid w:val="003B3906"/>
    <w:rsid w:val="003B43D0"/>
    <w:rsid w:val="003B4AEA"/>
    <w:rsid w:val="003B4B8C"/>
    <w:rsid w:val="003B4B93"/>
    <w:rsid w:val="003B5310"/>
    <w:rsid w:val="003B531F"/>
    <w:rsid w:val="003B5661"/>
    <w:rsid w:val="003B5995"/>
    <w:rsid w:val="003B59A0"/>
    <w:rsid w:val="003B5ACA"/>
    <w:rsid w:val="003B652D"/>
    <w:rsid w:val="003B668F"/>
    <w:rsid w:val="003B696A"/>
    <w:rsid w:val="003C083D"/>
    <w:rsid w:val="003C0D18"/>
    <w:rsid w:val="003C10BA"/>
    <w:rsid w:val="003C1E25"/>
    <w:rsid w:val="003C1FC2"/>
    <w:rsid w:val="003C2252"/>
    <w:rsid w:val="003C2511"/>
    <w:rsid w:val="003C2866"/>
    <w:rsid w:val="003C2C09"/>
    <w:rsid w:val="003C3BD0"/>
    <w:rsid w:val="003C403A"/>
    <w:rsid w:val="003C645C"/>
    <w:rsid w:val="003C65A0"/>
    <w:rsid w:val="003C6DD4"/>
    <w:rsid w:val="003D0C21"/>
    <w:rsid w:val="003D0F7A"/>
    <w:rsid w:val="003D0FBE"/>
    <w:rsid w:val="003D15F5"/>
    <w:rsid w:val="003D1E0D"/>
    <w:rsid w:val="003D1E4D"/>
    <w:rsid w:val="003D24FC"/>
    <w:rsid w:val="003D324D"/>
    <w:rsid w:val="003D34C9"/>
    <w:rsid w:val="003D3CDD"/>
    <w:rsid w:val="003D4038"/>
    <w:rsid w:val="003D40ED"/>
    <w:rsid w:val="003D411A"/>
    <w:rsid w:val="003D4534"/>
    <w:rsid w:val="003D4D90"/>
    <w:rsid w:val="003D4DFF"/>
    <w:rsid w:val="003D4F11"/>
    <w:rsid w:val="003D511D"/>
    <w:rsid w:val="003D521F"/>
    <w:rsid w:val="003D5267"/>
    <w:rsid w:val="003D592A"/>
    <w:rsid w:val="003D5AD8"/>
    <w:rsid w:val="003D5C99"/>
    <w:rsid w:val="003D5DCF"/>
    <w:rsid w:val="003D608A"/>
    <w:rsid w:val="003D6741"/>
    <w:rsid w:val="003E0CF8"/>
    <w:rsid w:val="003E0D54"/>
    <w:rsid w:val="003E1534"/>
    <w:rsid w:val="003E21FC"/>
    <w:rsid w:val="003E2306"/>
    <w:rsid w:val="003E266A"/>
    <w:rsid w:val="003E2D47"/>
    <w:rsid w:val="003E302E"/>
    <w:rsid w:val="003E3295"/>
    <w:rsid w:val="003E3BFA"/>
    <w:rsid w:val="003E4176"/>
    <w:rsid w:val="003E41CD"/>
    <w:rsid w:val="003E42E4"/>
    <w:rsid w:val="003E471F"/>
    <w:rsid w:val="003E52B2"/>
    <w:rsid w:val="003E57E4"/>
    <w:rsid w:val="003E608D"/>
    <w:rsid w:val="003E67BB"/>
    <w:rsid w:val="003E7031"/>
    <w:rsid w:val="003E72DC"/>
    <w:rsid w:val="003E7DBB"/>
    <w:rsid w:val="003F0002"/>
    <w:rsid w:val="003F0005"/>
    <w:rsid w:val="003F054A"/>
    <w:rsid w:val="003F077A"/>
    <w:rsid w:val="003F07A6"/>
    <w:rsid w:val="003F0F6A"/>
    <w:rsid w:val="003F142C"/>
    <w:rsid w:val="003F14BE"/>
    <w:rsid w:val="003F1898"/>
    <w:rsid w:val="003F2104"/>
    <w:rsid w:val="003F216E"/>
    <w:rsid w:val="003F217E"/>
    <w:rsid w:val="003F245C"/>
    <w:rsid w:val="003F3A7B"/>
    <w:rsid w:val="003F46CA"/>
    <w:rsid w:val="003F485E"/>
    <w:rsid w:val="003F511C"/>
    <w:rsid w:val="003F6795"/>
    <w:rsid w:val="003F6FB6"/>
    <w:rsid w:val="003F7389"/>
    <w:rsid w:val="003F74BB"/>
    <w:rsid w:val="00400465"/>
    <w:rsid w:val="00400E6C"/>
    <w:rsid w:val="0040250B"/>
    <w:rsid w:val="00403E96"/>
    <w:rsid w:val="00404CE0"/>
    <w:rsid w:val="00405074"/>
    <w:rsid w:val="00405935"/>
    <w:rsid w:val="0040619D"/>
    <w:rsid w:val="00406652"/>
    <w:rsid w:val="00406926"/>
    <w:rsid w:val="004070FD"/>
    <w:rsid w:val="004077E1"/>
    <w:rsid w:val="004078C0"/>
    <w:rsid w:val="0041013A"/>
    <w:rsid w:val="00410719"/>
    <w:rsid w:val="004113B5"/>
    <w:rsid w:val="00412CF5"/>
    <w:rsid w:val="00412F46"/>
    <w:rsid w:val="0041373E"/>
    <w:rsid w:val="00413F3F"/>
    <w:rsid w:val="0041446F"/>
    <w:rsid w:val="00417C74"/>
    <w:rsid w:val="00417DA2"/>
    <w:rsid w:val="00417E8C"/>
    <w:rsid w:val="004209D5"/>
    <w:rsid w:val="004222E3"/>
    <w:rsid w:val="00422ADB"/>
    <w:rsid w:val="00422BD5"/>
    <w:rsid w:val="004230C9"/>
    <w:rsid w:val="00423DFD"/>
    <w:rsid w:val="00424D64"/>
    <w:rsid w:val="004256AE"/>
    <w:rsid w:val="00426298"/>
    <w:rsid w:val="0042650A"/>
    <w:rsid w:val="004265CD"/>
    <w:rsid w:val="00426B98"/>
    <w:rsid w:val="00426C82"/>
    <w:rsid w:val="00426CF4"/>
    <w:rsid w:val="004278C3"/>
    <w:rsid w:val="00427FF6"/>
    <w:rsid w:val="00430484"/>
    <w:rsid w:val="0043096E"/>
    <w:rsid w:val="00430B0B"/>
    <w:rsid w:val="00430F89"/>
    <w:rsid w:val="00431733"/>
    <w:rsid w:val="004332A9"/>
    <w:rsid w:val="00433C31"/>
    <w:rsid w:val="00433E44"/>
    <w:rsid w:val="00434840"/>
    <w:rsid w:val="00434AFA"/>
    <w:rsid w:val="004356BA"/>
    <w:rsid w:val="00435F64"/>
    <w:rsid w:val="00436129"/>
    <w:rsid w:val="00436154"/>
    <w:rsid w:val="00436476"/>
    <w:rsid w:val="004374DE"/>
    <w:rsid w:val="00437615"/>
    <w:rsid w:val="00437968"/>
    <w:rsid w:val="00437BC5"/>
    <w:rsid w:val="00437C4F"/>
    <w:rsid w:val="004401AC"/>
    <w:rsid w:val="00440840"/>
    <w:rsid w:val="0044084C"/>
    <w:rsid w:val="00440D3F"/>
    <w:rsid w:val="00441189"/>
    <w:rsid w:val="00441264"/>
    <w:rsid w:val="004420BE"/>
    <w:rsid w:val="00445F55"/>
    <w:rsid w:val="00446169"/>
    <w:rsid w:val="004467E6"/>
    <w:rsid w:val="00446D6A"/>
    <w:rsid w:val="0044706B"/>
    <w:rsid w:val="00450101"/>
    <w:rsid w:val="004501F8"/>
    <w:rsid w:val="0045134F"/>
    <w:rsid w:val="0045212D"/>
    <w:rsid w:val="00452E59"/>
    <w:rsid w:val="004531BC"/>
    <w:rsid w:val="004533BE"/>
    <w:rsid w:val="004535D5"/>
    <w:rsid w:val="004541DA"/>
    <w:rsid w:val="00454412"/>
    <w:rsid w:val="00455608"/>
    <w:rsid w:val="00455BA8"/>
    <w:rsid w:val="00455E7B"/>
    <w:rsid w:val="00456092"/>
    <w:rsid w:val="0045641C"/>
    <w:rsid w:val="00456452"/>
    <w:rsid w:val="00456824"/>
    <w:rsid w:val="004568E8"/>
    <w:rsid w:val="00456BC3"/>
    <w:rsid w:val="00456D74"/>
    <w:rsid w:val="00457204"/>
    <w:rsid w:val="00457CE6"/>
    <w:rsid w:val="00460055"/>
    <w:rsid w:val="004603BC"/>
    <w:rsid w:val="00460727"/>
    <w:rsid w:val="00461090"/>
    <w:rsid w:val="00461DC4"/>
    <w:rsid w:val="00462051"/>
    <w:rsid w:val="0046476F"/>
    <w:rsid w:val="00464F92"/>
    <w:rsid w:val="00467218"/>
    <w:rsid w:val="00467494"/>
    <w:rsid w:val="0046772F"/>
    <w:rsid w:val="00467F82"/>
    <w:rsid w:val="0047008E"/>
    <w:rsid w:val="004706F4"/>
    <w:rsid w:val="00470BF4"/>
    <w:rsid w:val="00470C45"/>
    <w:rsid w:val="00472236"/>
    <w:rsid w:val="004722C6"/>
    <w:rsid w:val="0047264A"/>
    <w:rsid w:val="00472BD3"/>
    <w:rsid w:val="00472D25"/>
    <w:rsid w:val="00472D37"/>
    <w:rsid w:val="004730CB"/>
    <w:rsid w:val="0047373D"/>
    <w:rsid w:val="004741A6"/>
    <w:rsid w:val="0047585E"/>
    <w:rsid w:val="00475C2C"/>
    <w:rsid w:val="00477389"/>
    <w:rsid w:val="00477425"/>
    <w:rsid w:val="00477489"/>
    <w:rsid w:val="00477505"/>
    <w:rsid w:val="004777E2"/>
    <w:rsid w:val="00480068"/>
    <w:rsid w:val="00480A82"/>
    <w:rsid w:val="00480D8D"/>
    <w:rsid w:val="004810FC"/>
    <w:rsid w:val="00481C4C"/>
    <w:rsid w:val="00481DA7"/>
    <w:rsid w:val="00481F83"/>
    <w:rsid w:val="004824DF"/>
    <w:rsid w:val="0048312B"/>
    <w:rsid w:val="00483516"/>
    <w:rsid w:val="0048361B"/>
    <w:rsid w:val="004853C1"/>
    <w:rsid w:val="00485E9A"/>
    <w:rsid w:val="004863D2"/>
    <w:rsid w:val="00486414"/>
    <w:rsid w:val="004865BC"/>
    <w:rsid w:val="00486E84"/>
    <w:rsid w:val="00490451"/>
    <w:rsid w:val="0049054C"/>
    <w:rsid w:val="0049091F"/>
    <w:rsid w:val="00491511"/>
    <w:rsid w:val="00492070"/>
    <w:rsid w:val="00492842"/>
    <w:rsid w:val="00493809"/>
    <w:rsid w:val="00493F20"/>
    <w:rsid w:val="0049436E"/>
    <w:rsid w:val="004945D0"/>
    <w:rsid w:val="00494C4A"/>
    <w:rsid w:val="00494D5F"/>
    <w:rsid w:val="00496508"/>
    <w:rsid w:val="00496741"/>
    <w:rsid w:val="00497FDB"/>
    <w:rsid w:val="004A0498"/>
    <w:rsid w:val="004A2661"/>
    <w:rsid w:val="004A36D9"/>
    <w:rsid w:val="004A40F4"/>
    <w:rsid w:val="004A4973"/>
    <w:rsid w:val="004A50AE"/>
    <w:rsid w:val="004A578A"/>
    <w:rsid w:val="004A607C"/>
    <w:rsid w:val="004A63AC"/>
    <w:rsid w:val="004A678F"/>
    <w:rsid w:val="004A7139"/>
    <w:rsid w:val="004A72BD"/>
    <w:rsid w:val="004A7854"/>
    <w:rsid w:val="004A79CE"/>
    <w:rsid w:val="004A79D1"/>
    <w:rsid w:val="004B0264"/>
    <w:rsid w:val="004B0664"/>
    <w:rsid w:val="004B0D9F"/>
    <w:rsid w:val="004B0E7E"/>
    <w:rsid w:val="004B33ED"/>
    <w:rsid w:val="004B3785"/>
    <w:rsid w:val="004B3FC6"/>
    <w:rsid w:val="004B5033"/>
    <w:rsid w:val="004B597B"/>
    <w:rsid w:val="004B5B97"/>
    <w:rsid w:val="004B5C8A"/>
    <w:rsid w:val="004B6E00"/>
    <w:rsid w:val="004B726F"/>
    <w:rsid w:val="004B7381"/>
    <w:rsid w:val="004B7EA0"/>
    <w:rsid w:val="004C0004"/>
    <w:rsid w:val="004C03E7"/>
    <w:rsid w:val="004C0A1A"/>
    <w:rsid w:val="004C12AA"/>
    <w:rsid w:val="004C20EA"/>
    <w:rsid w:val="004C25F1"/>
    <w:rsid w:val="004C264E"/>
    <w:rsid w:val="004C30E9"/>
    <w:rsid w:val="004C32F1"/>
    <w:rsid w:val="004C3640"/>
    <w:rsid w:val="004C37F0"/>
    <w:rsid w:val="004C4B14"/>
    <w:rsid w:val="004C4FEC"/>
    <w:rsid w:val="004C5452"/>
    <w:rsid w:val="004C56A3"/>
    <w:rsid w:val="004C586D"/>
    <w:rsid w:val="004C5A88"/>
    <w:rsid w:val="004C5B60"/>
    <w:rsid w:val="004C5ED6"/>
    <w:rsid w:val="004C6C11"/>
    <w:rsid w:val="004D0192"/>
    <w:rsid w:val="004D04EF"/>
    <w:rsid w:val="004D0B31"/>
    <w:rsid w:val="004D0CCB"/>
    <w:rsid w:val="004D11D1"/>
    <w:rsid w:val="004D220F"/>
    <w:rsid w:val="004D2F15"/>
    <w:rsid w:val="004D3462"/>
    <w:rsid w:val="004D38BD"/>
    <w:rsid w:val="004D55C2"/>
    <w:rsid w:val="004D5E92"/>
    <w:rsid w:val="004D61E8"/>
    <w:rsid w:val="004D6C3A"/>
    <w:rsid w:val="004D6E68"/>
    <w:rsid w:val="004E0D2D"/>
    <w:rsid w:val="004E17D6"/>
    <w:rsid w:val="004E1DEC"/>
    <w:rsid w:val="004E231E"/>
    <w:rsid w:val="004E23C4"/>
    <w:rsid w:val="004E23FB"/>
    <w:rsid w:val="004E2ECF"/>
    <w:rsid w:val="004E4AAB"/>
    <w:rsid w:val="004E560D"/>
    <w:rsid w:val="004E687E"/>
    <w:rsid w:val="004E68D7"/>
    <w:rsid w:val="004E6B9F"/>
    <w:rsid w:val="004E717F"/>
    <w:rsid w:val="004E7D33"/>
    <w:rsid w:val="004F0309"/>
    <w:rsid w:val="004F2667"/>
    <w:rsid w:val="004F271D"/>
    <w:rsid w:val="004F4829"/>
    <w:rsid w:val="004F5285"/>
    <w:rsid w:val="004F6D57"/>
    <w:rsid w:val="004F767C"/>
    <w:rsid w:val="004F79FE"/>
    <w:rsid w:val="004F7CD3"/>
    <w:rsid w:val="005003A3"/>
    <w:rsid w:val="00500975"/>
    <w:rsid w:val="005009C6"/>
    <w:rsid w:val="00500A68"/>
    <w:rsid w:val="00500B6B"/>
    <w:rsid w:val="00500D2E"/>
    <w:rsid w:val="00501086"/>
    <w:rsid w:val="005039F0"/>
    <w:rsid w:val="00503B3E"/>
    <w:rsid w:val="00503C45"/>
    <w:rsid w:val="005041D2"/>
    <w:rsid w:val="00504F25"/>
    <w:rsid w:val="0050510D"/>
    <w:rsid w:val="00505B1D"/>
    <w:rsid w:val="00506125"/>
    <w:rsid w:val="005063A6"/>
    <w:rsid w:val="00506529"/>
    <w:rsid w:val="0050703B"/>
    <w:rsid w:val="005072DD"/>
    <w:rsid w:val="00507359"/>
    <w:rsid w:val="00510341"/>
    <w:rsid w:val="005105E3"/>
    <w:rsid w:val="005105FE"/>
    <w:rsid w:val="00510616"/>
    <w:rsid w:val="00510666"/>
    <w:rsid w:val="005106AF"/>
    <w:rsid w:val="00511B8C"/>
    <w:rsid w:val="00512474"/>
    <w:rsid w:val="00512D1B"/>
    <w:rsid w:val="00513343"/>
    <w:rsid w:val="0051339E"/>
    <w:rsid w:val="00513F29"/>
    <w:rsid w:val="00515333"/>
    <w:rsid w:val="0051551F"/>
    <w:rsid w:val="00515D27"/>
    <w:rsid w:val="00516391"/>
    <w:rsid w:val="00516483"/>
    <w:rsid w:val="00516D3A"/>
    <w:rsid w:val="00517222"/>
    <w:rsid w:val="00517C83"/>
    <w:rsid w:val="005209F4"/>
    <w:rsid w:val="00521905"/>
    <w:rsid w:val="00522895"/>
    <w:rsid w:val="00523640"/>
    <w:rsid w:val="0052589D"/>
    <w:rsid w:val="00526CDB"/>
    <w:rsid w:val="00526FC5"/>
    <w:rsid w:val="0052734C"/>
    <w:rsid w:val="005273EF"/>
    <w:rsid w:val="0053036C"/>
    <w:rsid w:val="0053076C"/>
    <w:rsid w:val="00530EDC"/>
    <w:rsid w:val="005343ED"/>
    <w:rsid w:val="00534E3B"/>
    <w:rsid w:val="00534FAB"/>
    <w:rsid w:val="0053658D"/>
    <w:rsid w:val="00536995"/>
    <w:rsid w:val="00536DD3"/>
    <w:rsid w:val="00536F16"/>
    <w:rsid w:val="005370F0"/>
    <w:rsid w:val="005371B2"/>
    <w:rsid w:val="00537681"/>
    <w:rsid w:val="00537992"/>
    <w:rsid w:val="0054000B"/>
    <w:rsid w:val="00540080"/>
    <w:rsid w:val="005402A2"/>
    <w:rsid w:val="00540362"/>
    <w:rsid w:val="0054050F"/>
    <w:rsid w:val="005414E0"/>
    <w:rsid w:val="0054182C"/>
    <w:rsid w:val="00541BCD"/>
    <w:rsid w:val="00541CA3"/>
    <w:rsid w:val="00541FE4"/>
    <w:rsid w:val="00542FD0"/>
    <w:rsid w:val="00543AD1"/>
    <w:rsid w:val="00544F28"/>
    <w:rsid w:val="00545770"/>
    <w:rsid w:val="00546D80"/>
    <w:rsid w:val="005476C3"/>
    <w:rsid w:val="0055134D"/>
    <w:rsid w:val="00552BAE"/>
    <w:rsid w:val="005537EA"/>
    <w:rsid w:val="00553B08"/>
    <w:rsid w:val="00554801"/>
    <w:rsid w:val="00554EB0"/>
    <w:rsid w:val="00555812"/>
    <w:rsid w:val="005558D1"/>
    <w:rsid w:val="00555EEA"/>
    <w:rsid w:val="00555FF0"/>
    <w:rsid w:val="00556845"/>
    <w:rsid w:val="00556A2C"/>
    <w:rsid w:val="005575A8"/>
    <w:rsid w:val="00557809"/>
    <w:rsid w:val="00557BEA"/>
    <w:rsid w:val="005608FC"/>
    <w:rsid w:val="00560BCF"/>
    <w:rsid w:val="00560CB0"/>
    <w:rsid w:val="00561863"/>
    <w:rsid w:val="005620DC"/>
    <w:rsid w:val="0056232D"/>
    <w:rsid w:val="005639E1"/>
    <w:rsid w:val="00563E47"/>
    <w:rsid w:val="0056408E"/>
    <w:rsid w:val="0056466F"/>
    <w:rsid w:val="005647E1"/>
    <w:rsid w:val="00564B09"/>
    <w:rsid w:val="005651F2"/>
    <w:rsid w:val="00565FAE"/>
    <w:rsid w:val="005660E3"/>
    <w:rsid w:val="00566532"/>
    <w:rsid w:val="0056659C"/>
    <w:rsid w:val="005669E7"/>
    <w:rsid w:val="005672BB"/>
    <w:rsid w:val="005673CD"/>
    <w:rsid w:val="00570170"/>
    <w:rsid w:val="00570234"/>
    <w:rsid w:val="00570BB1"/>
    <w:rsid w:val="0057259B"/>
    <w:rsid w:val="00572FC4"/>
    <w:rsid w:val="005737B1"/>
    <w:rsid w:val="00574841"/>
    <w:rsid w:val="00574A65"/>
    <w:rsid w:val="00581FF0"/>
    <w:rsid w:val="00582A53"/>
    <w:rsid w:val="00582B71"/>
    <w:rsid w:val="00583901"/>
    <w:rsid w:val="00583F65"/>
    <w:rsid w:val="0058409D"/>
    <w:rsid w:val="00584D7D"/>
    <w:rsid w:val="00585F5D"/>
    <w:rsid w:val="005861D7"/>
    <w:rsid w:val="00586666"/>
    <w:rsid w:val="00586F5B"/>
    <w:rsid w:val="005874AC"/>
    <w:rsid w:val="0059157C"/>
    <w:rsid w:val="00591729"/>
    <w:rsid w:val="00592349"/>
    <w:rsid w:val="00592DDC"/>
    <w:rsid w:val="00594047"/>
    <w:rsid w:val="00594E4E"/>
    <w:rsid w:val="00595001"/>
    <w:rsid w:val="005954D6"/>
    <w:rsid w:val="00596E4E"/>
    <w:rsid w:val="005973F2"/>
    <w:rsid w:val="0059796D"/>
    <w:rsid w:val="005A02FD"/>
    <w:rsid w:val="005A04BB"/>
    <w:rsid w:val="005A07FD"/>
    <w:rsid w:val="005A166D"/>
    <w:rsid w:val="005A1CBA"/>
    <w:rsid w:val="005A1FF3"/>
    <w:rsid w:val="005A213E"/>
    <w:rsid w:val="005A229B"/>
    <w:rsid w:val="005A2940"/>
    <w:rsid w:val="005A396B"/>
    <w:rsid w:val="005A469E"/>
    <w:rsid w:val="005A47EF"/>
    <w:rsid w:val="005A4D93"/>
    <w:rsid w:val="005A4E98"/>
    <w:rsid w:val="005A5336"/>
    <w:rsid w:val="005A5487"/>
    <w:rsid w:val="005A57FF"/>
    <w:rsid w:val="005A61B9"/>
    <w:rsid w:val="005A677C"/>
    <w:rsid w:val="005A6916"/>
    <w:rsid w:val="005A6F55"/>
    <w:rsid w:val="005A705C"/>
    <w:rsid w:val="005A7253"/>
    <w:rsid w:val="005A77AD"/>
    <w:rsid w:val="005A7980"/>
    <w:rsid w:val="005A79BC"/>
    <w:rsid w:val="005B0197"/>
    <w:rsid w:val="005B0A5F"/>
    <w:rsid w:val="005B0F36"/>
    <w:rsid w:val="005B106A"/>
    <w:rsid w:val="005B16F2"/>
    <w:rsid w:val="005B2481"/>
    <w:rsid w:val="005B2561"/>
    <w:rsid w:val="005B2D2F"/>
    <w:rsid w:val="005B3528"/>
    <w:rsid w:val="005B3767"/>
    <w:rsid w:val="005B4E28"/>
    <w:rsid w:val="005B4F1C"/>
    <w:rsid w:val="005B4F70"/>
    <w:rsid w:val="005B53C0"/>
    <w:rsid w:val="005B6506"/>
    <w:rsid w:val="005B6654"/>
    <w:rsid w:val="005B6CF8"/>
    <w:rsid w:val="005B6EE9"/>
    <w:rsid w:val="005B7615"/>
    <w:rsid w:val="005B77B5"/>
    <w:rsid w:val="005C0007"/>
    <w:rsid w:val="005C0562"/>
    <w:rsid w:val="005C061B"/>
    <w:rsid w:val="005C13B8"/>
    <w:rsid w:val="005C1D32"/>
    <w:rsid w:val="005C21A9"/>
    <w:rsid w:val="005C29B0"/>
    <w:rsid w:val="005C3057"/>
    <w:rsid w:val="005C374F"/>
    <w:rsid w:val="005C43E6"/>
    <w:rsid w:val="005C46A2"/>
    <w:rsid w:val="005C4ECB"/>
    <w:rsid w:val="005C56A9"/>
    <w:rsid w:val="005C63EB"/>
    <w:rsid w:val="005C71EA"/>
    <w:rsid w:val="005C7430"/>
    <w:rsid w:val="005C74E2"/>
    <w:rsid w:val="005C7853"/>
    <w:rsid w:val="005C7F76"/>
    <w:rsid w:val="005D0526"/>
    <w:rsid w:val="005D0EA0"/>
    <w:rsid w:val="005D1147"/>
    <w:rsid w:val="005D13F2"/>
    <w:rsid w:val="005D21B7"/>
    <w:rsid w:val="005D2A94"/>
    <w:rsid w:val="005D36D3"/>
    <w:rsid w:val="005D38D2"/>
    <w:rsid w:val="005D3A6E"/>
    <w:rsid w:val="005D426E"/>
    <w:rsid w:val="005D4522"/>
    <w:rsid w:val="005D46C3"/>
    <w:rsid w:val="005D4844"/>
    <w:rsid w:val="005D4F24"/>
    <w:rsid w:val="005D5244"/>
    <w:rsid w:val="005D6B01"/>
    <w:rsid w:val="005D6D30"/>
    <w:rsid w:val="005D7C5F"/>
    <w:rsid w:val="005D7DFD"/>
    <w:rsid w:val="005E026F"/>
    <w:rsid w:val="005E03EE"/>
    <w:rsid w:val="005E068C"/>
    <w:rsid w:val="005E0B68"/>
    <w:rsid w:val="005E0CC6"/>
    <w:rsid w:val="005E0EF9"/>
    <w:rsid w:val="005E2CFE"/>
    <w:rsid w:val="005E2DE1"/>
    <w:rsid w:val="005E3EB6"/>
    <w:rsid w:val="005E4330"/>
    <w:rsid w:val="005E4C1C"/>
    <w:rsid w:val="005E53A0"/>
    <w:rsid w:val="005E5800"/>
    <w:rsid w:val="005E6D86"/>
    <w:rsid w:val="005E71D8"/>
    <w:rsid w:val="005E77C9"/>
    <w:rsid w:val="005E79AF"/>
    <w:rsid w:val="005E7CBC"/>
    <w:rsid w:val="005E7DF2"/>
    <w:rsid w:val="005F1821"/>
    <w:rsid w:val="005F18D7"/>
    <w:rsid w:val="005F1A35"/>
    <w:rsid w:val="005F1C40"/>
    <w:rsid w:val="005F1CCD"/>
    <w:rsid w:val="005F2727"/>
    <w:rsid w:val="005F2945"/>
    <w:rsid w:val="005F3F65"/>
    <w:rsid w:val="005F4587"/>
    <w:rsid w:val="005F4778"/>
    <w:rsid w:val="005F4E44"/>
    <w:rsid w:val="005F5AB2"/>
    <w:rsid w:val="005F5B6B"/>
    <w:rsid w:val="005F5DBA"/>
    <w:rsid w:val="005F5F50"/>
    <w:rsid w:val="005F61F4"/>
    <w:rsid w:val="005F76CB"/>
    <w:rsid w:val="005F7F74"/>
    <w:rsid w:val="0060002F"/>
    <w:rsid w:val="006008A7"/>
    <w:rsid w:val="00601DB0"/>
    <w:rsid w:val="00601E2B"/>
    <w:rsid w:val="00601F02"/>
    <w:rsid w:val="00601F3B"/>
    <w:rsid w:val="00601F54"/>
    <w:rsid w:val="00602143"/>
    <w:rsid w:val="00602252"/>
    <w:rsid w:val="00602C84"/>
    <w:rsid w:val="006044BF"/>
    <w:rsid w:val="00605330"/>
    <w:rsid w:val="0060548B"/>
    <w:rsid w:val="006059F2"/>
    <w:rsid w:val="006060B5"/>
    <w:rsid w:val="006066EB"/>
    <w:rsid w:val="006078F8"/>
    <w:rsid w:val="00610EB1"/>
    <w:rsid w:val="0061163D"/>
    <w:rsid w:val="006125E3"/>
    <w:rsid w:val="00612660"/>
    <w:rsid w:val="0061309B"/>
    <w:rsid w:val="006130D6"/>
    <w:rsid w:val="00613556"/>
    <w:rsid w:val="0061391A"/>
    <w:rsid w:val="00613DA5"/>
    <w:rsid w:val="00614425"/>
    <w:rsid w:val="006146C4"/>
    <w:rsid w:val="00614987"/>
    <w:rsid w:val="00614E3C"/>
    <w:rsid w:val="00615231"/>
    <w:rsid w:val="00615CDA"/>
    <w:rsid w:val="00616125"/>
    <w:rsid w:val="00616A12"/>
    <w:rsid w:val="00616BE2"/>
    <w:rsid w:val="00616C7E"/>
    <w:rsid w:val="00616FB8"/>
    <w:rsid w:val="006175A4"/>
    <w:rsid w:val="006177C2"/>
    <w:rsid w:val="00617AD1"/>
    <w:rsid w:val="00617EEA"/>
    <w:rsid w:val="00617FC5"/>
    <w:rsid w:val="00617FF7"/>
    <w:rsid w:val="006211CB"/>
    <w:rsid w:val="0062124A"/>
    <w:rsid w:val="006219E5"/>
    <w:rsid w:val="00622112"/>
    <w:rsid w:val="00622984"/>
    <w:rsid w:val="00622A28"/>
    <w:rsid w:val="00622E54"/>
    <w:rsid w:val="00623285"/>
    <w:rsid w:val="0062456B"/>
    <w:rsid w:val="00624DE6"/>
    <w:rsid w:val="006251B9"/>
    <w:rsid w:val="006255BB"/>
    <w:rsid w:val="00625700"/>
    <w:rsid w:val="00625F23"/>
    <w:rsid w:val="00626223"/>
    <w:rsid w:val="0062706C"/>
    <w:rsid w:val="006270DD"/>
    <w:rsid w:val="00630281"/>
    <w:rsid w:val="00630854"/>
    <w:rsid w:val="00631276"/>
    <w:rsid w:val="00631A05"/>
    <w:rsid w:val="00632B2F"/>
    <w:rsid w:val="00632F08"/>
    <w:rsid w:val="00633534"/>
    <w:rsid w:val="0063361E"/>
    <w:rsid w:val="006338E6"/>
    <w:rsid w:val="00633A48"/>
    <w:rsid w:val="00633BD3"/>
    <w:rsid w:val="00633F03"/>
    <w:rsid w:val="00634AD0"/>
    <w:rsid w:val="00634D1A"/>
    <w:rsid w:val="00634F8E"/>
    <w:rsid w:val="006361C9"/>
    <w:rsid w:val="00636333"/>
    <w:rsid w:val="0063765F"/>
    <w:rsid w:val="00637FEE"/>
    <w:rsid w:val="00640214"/>
    <w:rsid w:val="00640267"/>
    <w:rsid w:val="00640D7A"/>
    <w:rsid w:val="006411B9"/>
    <w:rsid w:val="00641378"/>
    <w:rsid w:val="006414E0"/>
    <w:rsid w:val="00641CDC"/>
    <w:rsid w:val="006426A6"/>
    <w:rsid w:val="006427F4"/>
    <w:rsid w:val="00642ADD"/>
    <w:rsid w:val="00642E6C"/>
    <w:rsid w:val="00643079"/>
    <w:rsid w:val="00644613"/>
    <w:rsid w:val="006446B7"/>
    <w:rsid w:val="00644871"/>
    <w:rsid w:val="00646298"/>
    <w:rsid w:val="00646983"/>
    <w:rsid w:val="006475F4"/>
    <w:rsid w:val="0064785A"/>
    <w:rsid w:val="006502F6"/>
    <w:rsid w:val="00650A92"/>
    <w:rsid w:val="00650D70"/>
    <w:rsid w:val="006514C8"/>
    <w:rsid w:val="00651DAE"/>
    <w:rsid w:val="006527B7"/>
    <w:rsid w:val="006528C7"/>
    <w:rsid w:val="0065293A"/>
    <w:rsid w:val="00653334"/>
    <w:rsid w:val="0065398C"/>
    <w:rsid w:val="006549DB"/>
    <w:rsid w:val="006565F5"/>
    <w:rsid w:val="006567A2"/>
    <w:rsid w:val="00656D55"/>
    <w:rsid w:val="00656D8B"/>
    <w:rsid w:val="0065779E"/>
    <w:rsid w:val="006610CD"/>
    <w:rsid w:val="006611B4"/>
    <w:rsid w:val="0066127D"/>
    <w:rsid w:val="006619E8"/>
    <w:rsid w:val="0066246F"/>
    <w:rsid w:val="0066276C"/>
    <w:rsid w:val="00662FFE"/>
    <w:rsid w:val="00664076"/>
    <w:rsid w:val="0066577D"/>
    <w:rsid w:val="00666C20"/>
    <w:rsid w:val="006704DE"/>
    <w:rsid w:val="00671422"/>
    <w:rsid w:val="00671D40"/>
    <w:rsid w:val="00671DDC"/>
    <w:rsid w:val="00672105"/>
    <w:rsid w:val="0067359C"/>
    <w:rsid w:val="00674B11"/>
    <w:rsid w:val="00676A0F"/>
    <w:rsid w:val="00677286"/>
    <w:rsid w:val="00681A2B"/>
    <w:rsid w:val="0068242F"/>
    <w:rsid w:val="006847A6"/>
    <w:rsid w:val="0068487B"/>
    <w:rsid w:val="00684E05"/>
    <w:rsid w:val="00684EDC"/>
    <w:rsid w:val="0068557C"/>
    <w:rsid w:val="0068586A"/>
    <w:rsid w:val="006909F2"/>
    <w:rsid w:val="006910A4"/>
    <w:rsid w:val="0069160F"/>
    <w:rsid w:val="00691675"/>
    <w:rsid w:val="0069244D"/>
    <w:rsid w:val="00692A49"/>
    <w:rsid w:val="00692B69"/>
    <w:rsid w:val="006937EA"/>
    <w:rsid w:val="00693A92"/>
    <w:rsid w:val="00693FF4"/>
    <w:rsid w:val="00695626"/>
    <w:rsid w:val="00695981"/>
    <w:rsid w:val="0069633A"/>
    <w:rsid w:val="0069674F"/>
    <w:rsid w:val="006976B3"/>
    <w:rsid w:val="00697B2A"/>
    <w:rsid w:val="006A0978"/>
    <w:rsid w:val="006A0B83"/>
    <w:rsid w:val="006A0F89"/>
    <w:rsid w:val="006A1ACA"/>
    <w:rsid w:val="006A1D46"/>
    <w:rsid w:val="006A24D0"/>
    <w:rsid w:val="006A2938"/>
    <w:rsid w:val="006A2F38"/>
    <w:rsid w:val="006A3330"/>
    <w:rsid w:val="006A426B"/>
    <w:rsid w:val="006A5A63"/>
    <w:rsid w:val="006A5E71"/>
    <w:rsid w:val="006A60EC"/>
    <w:rsid w:val="006A72C7"/>
    <w:rsid w:val="006A73B2"/>
    <w:rsid w:val="006A7C31"/>
    <w:rsid w:val="006A7E76"/>
    <w:rsid w:val="006B082A"/>
    <w:rsid w:val="006B0B7D"/>
    <w:rsid w:val="006B0B91"/>
    <w:rsid w:val="006B19D3"/>
    <w:rsid w:val="006B2A19"/>
    <w:rsid w:val="006B2A6D"/>
    <w:rsid w:val="006B3188"/>
    <w:rsid w:val="006B3F12"/>
    <w:rsid w:val="006B4473"/>
    <w:rsid w:val="006B4A4B"/>
    <w:rsid w:val="006B4D2D"/>
    <w:rsid w:val="006B523D"/>
    <w:rsid w:val="006B5CBB"/>
    <w:rsid w:val="006B5ECA"/>
    <w:rsid w:val="006B637C"/>
    <w:rsid w:val="006B67DF"/>
    <w:rsid w:val="006B6A25"/>
    <w:rsid w:val="006B6A48"/>
    <w:rsid w:val="006B7437"/>
    <w:rsid w:val="006B7903"/>
    <w:rsid w:val="006B7A80"/>
    <w:rsid w:val="006C0683"/>
    <w:rsid w:val="006C21B8"/>
    <w:rsid w:val="006C22B8"/>
    <w:rsid w:val="006C238A"/>
    <w:rsid w:val="006C2DF2"/>
    <w:rsid w:val="006C49B1"/>
    <w:rsid w:val="006C4F0A"/>
    <w:rsid w:val="006C5EAA"/>
    <w:rsid w:val="006C6F9B"/>
    <w:rsid w:val="006C7FEA"/>
    <w:rsid w:val="006D0776"/>
    <w:rsid w:val="006D1128"/>
    <w:rsid w:val="006D15F8"/>
    <w:rsid w:val="006D15F9"/>
    <w:rsid w:val="006D17E9"/>
    <w:rsid w:val="006D22F5"/>
    <w:rsid w:val="006D2B55"/>
    <w:rsid w:val="006D2FEC"/>
    <w:rsid w:val="006D3BEF"/>
    <w:rsid w:val="006D3D59"/>
    <w:rsid w:val="006D3E0A"/>
    <w:rsid w:val="006D3F41"/>
    <w:rsid w:val="006D52E0"/>
    <w:rsid w:val="006D53A4"/>
    <w:rsid w:val="006D592F"/>
    <w:rsid w:val="006D6477"/>
    <w:rsid w:val="006D68F3"/>
    <w:rsid w:val="006D6F6C"/>
    <w:rsid w:val="006D7ACE"/>
    <w:rsid w:val="006E055B"/>
    <w:rsid w:val="006E1634"/>
    <w:rsid w:val="006E2A66"/>
    <w:rsid w:val="006E2B33"/>
    <w:rsid w:val="006E2D7E"/>
    <w:rsid w:val="006E3326"/>
    <w:rsid w:val="006E34BC"/>
    <w:rsid w:val="006E4E2F"/>
    <w:rsid w:val="006E535E"/>
    <w:rsid w:val="006E68AB"/>
    <w:rsid w:val="006E6D56"/>
    <w:rsid w:val="006E6E9D"/>
    <w:rsid w:val="006E720F"/>
    <w:rsid w:val="006E7905"/>
    <w:rsid w:val="006F0B14"/>
    <w:rsid w:val="006F12EC"/>
    <w:rsid w:val="006F17B1"/>
    <w:rsid w:val="006F189F"/>
    <w:rsid w:val="006F19A5"/>
    <w:rsid w:val="006F1EFB"/>
    <w:rsid w:val="006F2398"/>
    <w:rsid w:val="006F29E5"/>
    <w:rsid w:val="006F2C61"/>
    <w:rsid w:val="006F43C3"/>
    <w:rsid w:val="006F4C0C"/>
    <w:rsid w:val="006F51B2"/>
    <w:rsid w:val="006F70D6"/>
    <w:rsid w:val="006F7110"/>
    <w:rsid w:val="00700008"/>
    <w:rsid w:val="00700383"/>
    <w:rsid w:val="007003A1"/>
    <w:rsid w:val="007004E9"/>
    <w:rsid w:val="0070148D"/>
    <w:rsid w:val="00702D58"/>
    <w:rsid w:val="00703C2A"/>
    <w:rsid w:val="00703D32"/>
    <w:rsid w:val="0070480E"/>
    <w:rsid w:val="00704EE1"/>
    <w:rsid w:val="00704FB4"/>
    <w:rsid w:val="00705637"/>
    <w:rsid w:val="00705FC0"/>
    <w:rsid w:val="00706278"/>
    <w:rsid w:val="007064BC"/>
    <w:rsid w:val="00710856"/>
    <w:rsid w:val="00711147"/>
    <w:rsid w:val="007119F3"/>
    <w:rsid w:val="0071287F"/>
    <w:rsid w:val="00714481"/>
    <w:rsid w:val="007144A6"/>
    <w:rsid w:val="00714AA7"/>
    <w:rsid w:val="00716D03"/>
    <w:rsid w:val="007207A1"/>
    <w:rsid w:val="00720C07"/>
    <w:rsid w:val="00721028"/>
    <w:rsid w:val="0072132B"/>
    <w:rsid w:val="00721B6E"/>
    <w:rsid w:val="0072204F"/>
    <w:rsid w:val="00722406"/>
    <w:rsid w:val="0072251A"/>
    <w:rsid w:val="0072283C"/>
    <w:rsid w:val="00722A66"/>
    <w:rsid w:val="00723DC5"/>
    <w:rsid w:val="007249CE"/>
    <w:rsid w:val="007256F1"/>
    <w:rsid w:val="007261B8"/>
    <w:rsid w:val="00726648"/>
    <w:rsid w:val="007267CD"/>
    <w:rsid w:val="0072732A"/>
    <w:rsid w:val="00727382"/>
    <w:rsid w:val="00730908"/>
    <w:rsid w:val="00730A9D"/>
    <w:rsid w:val="00731075"/>
    <w:rsid w:val="00731190"/>
    <w:rsid w:val="00731325"/>
    <w:rsid w:val="0073152B"/>
    <w:rsid w:val="00731743"/>
    <w:rsid w:val="00731811"/>
    <w:rsid w:val="007321F9"/>
    <w:rsid w:val="00732818"/>
    <w:rsid w:val="00732901"/>
    <w:rsid w:val="007333A9"/>
    <w:rsid w:val="00735370"/>
    <w:rsid w:val="00735420"/>
    <w:rsid w:val="00735889"/>
    <w:rsid w:val="00735B4D"/>
    <w:rsid w:val="00735DCC"/>
    <w:rsid w:val="00736117"/>
    <w:rsid w:val="00736A5B"/>
    <w:rsid w:val="00737283"/>
    <w:rsid w:val="007374BB"/>
    <w:rsid w:val="00737FC8"/>
    <w:rsid w:val="00740303"/>
    <w:rsid w:val="00740560"/>
    <w:rsid w:val="00740972"/>
    <w:rsid w:val="00741755"/>
    <w:rsid w:val="00741DA8"/>
    <w:rsid w:val="007421C6"/>
    <w:rsid w:val="00743485"/>
    <w:rsid w:val="00743CAD"/>
    <w:rsid w:val="00745341"/>
    <w:rsid w:val="007465B7"/>
    <w:rsid w:val="00746991"/>
    <w:rsid w:val="00746A26"/>
    <w:rsid w:val="00746FC2"/>
    <w:rsid w:val="0074729D"/>
    <w:rsid w:val="00747C1C"/>
    <w:rsid w:val="00747FD0"/>
    <w:rsid w:val="007500DF"/>
    <w:rsid w:val="0075038D"/>
    <w:rsid w:val="00752A69"/>
    <w:rsid w:val="007531FE"/>
    <w:rsid w:val="0075326E"/>
    <w:rsid w:val="007533AE"/>
    <w:rsid w:val="00753428"/>
    <w:rsid w:val="0075365C"/>
    <w:rsid w:val="00753FD7"/>
    <w:rsid w:val="00754F0B"/>
    <w:rsid w:val="00755700"/>
    <w:rsid w:val="00755A2C"/>
    <w:rsid w:val="0075607E"/>
    <w:rsid w:val="00756355"/>
    <w:rsid w:val="00756821"/>
    <w:rsid w:val="0075701A"/>
    <w:rsid w:val="00757095"/>
    <w:rsid w:val="0075759E"/>
    <w:rsid w:val="00757CE7"/>
    <w:rsid w:val="00760B7B"/>
    <w:rsid w:val="007613A7"/>
    <w:rsid w:val="007613BE"/>
    <w:rsid w:val="00761410"/>
    <w:rsid w:val="00761D5B"/>
    <w:rsid w:val="007623BD"/>
    <w:rsid w:val="007629A1"/>
    <w:rsid w:val="0076309D"/>
    <w:rsid w:val="007632C2"/>
    <w:rsid w:val="00763BC3"/>
    <w:rsid w:val="007651DD"/>
    <w:rsid w:val="00765A3A"/>
    <w:rsid w:val="007664BB"/>
    <w:rsid w:val="007674D4"/>
    <w:rsid w:val="00767AB2"/>
    <w:rsid w:val="00770027"/>
    <w:rsid w:val="007705A5"/>
    <w:rsid w:val="00770AA9"/>
    <w:rsid w:val="00770ADE"/>
    <w:rsid w:val="00771670"/>
    <w:rsid w:val="00771B8D"/>
    <w:rsid w:val="00771D21"/>
    <w:rsid w:val="0077203C"/>
    <w:rsid w:val="0077268B"/>
    <w:rsid w:val="00772E12"/>
    <w:rsid w:val="00772F82"/>
    <w:rsid w:val="00774C1B"/>
    <w:rsid w:val="0077586A"/>
    <w:rsid w:val="00775DD6"/>
    <w:rsid w:val="007762E6"/>
    <w:rsid w:val="00776B6B"/>
    <w:rsid w:val="00776C09"/>
    <w:rsid w:val="00777AB9"/>
    <w:rsid w:val="00777CE8"/>
    <w:rsid w:val="0078021A"/>
    <w:rsid w:val="00780431"/>
    <w:rsid w:val="007822A5"/>
    <w:rsid w:val="00782C0B"/>
    <w:rsid w:val="0078374B"/>
    <w:rsid w:val="00784360"/>
    <w:rsid w:val="00784A27"/>
    <w:rsid w:val="00785547"/>
    <w:rsid w:val="0078628D"/>
    <w:rsid w:val="00786F3E"/>
    <w:rsid w:val="00787574"/>
    <w:rsid w:val="0078798D"/>
    <w:rsid w:val="00790114"/>
    <w:rsid w:val="00790FA7"/>
    <w:rsid w:val="007913ED"/>
    <w:rsid w:val="007917AF"/>
    <w:rsid w:val="00792656"/>
    <w:rsid w:val="00792AFD"/>
    <w:rsid w:val="00792FE0"/>
    <w:rsid w:val="00793836"/>
    <w:rsid w:val="00794437"/>
    <w:rsid w:val="00794C17"/>
    <w:rsid w:val="00794FEC"/>
    <w:rsid w:val="00795278"/>
    <w:rsid w:val="00795DB2"/>
    <w:rsid w:val="007961F7"/>
    <w:rsid w:val="00796349"/>
    <w:rsid w:val="007964D1"/>
    <w:rsid w:val="00797807"/>
    <w:rsid w:val="007A035F"/>
    <w:rsid w:val="007A03BF"/>
    <w:rsid w:val="007A085A"/>
    <w:rsid w:val="007A0DE2"/>
    <w:rsid w:val="007A1281"/>
    <w:rsid w:val="007A1C80"/>
    <w:rsid w:val="007A292F"/>
    <w:rsid w:val="007A3465"/>
    <w:rsid w:val="007A34A3"/>
    <w:rsid w:val="007A34C1"/>
    <w:rsid w:val="007A37F0"/>
    <w:rsid w:val="007A3FA4"/>
    <w:rsid w:val="007A40A2"/>
    <w:rsid w:val="007A6062"/>
    <w:rsid w:val="007A6200"/>
    <w:rsid w:val="007A65E0"/>
    <w:rsid w:val="007A6659"/>
    <w:rsid w:val="007A6A85"/>
    <w:rsid w:val="007A6E05"/>
    <w:rsid w:val="007A718F"/>
    <w:rsid w:val="007A759F"/>
    <w:rsid w:val="007A7E1B"/>
    <w:rsid w:val="007B017B"/>
    <w:rsid w:val="007B0198"/>
    <w:rsid w:val="007B0941"/>
    <w:rsid w:val="007B0C81"/>
    <w:rsid w:val="007B1BBC"/>
    <w:rsid w:val="007B1FBA"/>
    <w:rsid w:val="007B2319"/>
    <w:rsid w:val="007B2968"/>
    <w:rsid w:val="007B2A50"/>
    <w:rsid w:val="007B2CB9"/>
    <w:rsid w:val="007B2FF2"/>
    <w:rsid w:val="007B4EBD"/>
    <w:rsid w:val="007B67D7"/>
    <w:rsid w:val="007B696A"/>
    <w:rsid w:val="007B76E1"/>
    <w:rsid w:val="007B7722"/>
    <w:rsid w:val="007B77D7"/>
    <w:rsid w:val="007B79F6"/>
    <w:rsid w:val="007C00C0"/>
    <w:rsid w:val="007C06E1"/>
    <w:rsid w:val="007C1B0A"/>
    <w:rsid w:val="007C2476"/>
    <w:rsid w:val="007C3460"/>
    <w:rsid w:val="007C38A2"/>
    <w:rsid w:val="007C3F25"/>
    <w:rsid w:val="007C4479"/>
    <w:rsid w:val="007C480B"/>
    <w:rsid w:val="007C4A90"/>
    <w:rsid w:val="007C4FA8"/>
    <w:rsid w:val="007C5291"/>
    <w:rsid w:val="007C54A3"/>
    <w:rsid w:val="007C5C2E"/>
    <w:rsid w:val="007C646B"/>
    <w:rsid w:val="007C7A9A"/>
    <w:rsid w:val="007C7FC2"/>
    <w:rsid w:val="007D094A"/>
    <w:rsid w:val="007D14A9"/>
    <w:rsid w:val="007D19E1"/>
    <w:rsid w:val="007D214D"/>
    <w:rsid w:val="007D3236"/>
    <w:rsid w:val="007D3425"/>
    <w:rsid w:val="007D36C0"/>
    <w:rsid w:val="007D4330"/>
    <w:rsid w:val="007D464E"/>
    <w:rsid w:val="007D4BB0"/>
    <w:rsid w:val="007D4BFB"/>
    <w:rsid w:val="007D5042"/>
    <w:rsid w:val="007D51AF"/>
    <w:rsid w:val="007D59C9"/>
    <w:rsid w:val="007D639C"/>
    <w:rsid w:val="007D65A4"/>
    <w:rsid w:val="007D6898"/>
    <w:rsid w:val="007D70CE"/>
    <w:rsid w:val="007D7A7D"/>
    <w:rsid w:val="007E04E9"/>
    <w:rsid w:val="007E10F9"/>
    <w:rsid w:val="007E1452"/>
    <w:rsid w:val="007E1ECB"/>
    <w:rsid w:val="007E324A"/>
    <w:rsid w:val="007E33FF"/>
    <w:rsid w:val="007E36AE"/>
    <w:rsid w:val="007E372D"/>
    <w:rsid w:val="007E4B01"/>
    <w:rsid w:val="007E4CC6"/>
    <w:rsid w:val="007E50E2"/>
    <w:rsid w:val="007E5880"/>
    <w:rsid w:val="007E5BFC"/>
    <w:rsid w:val="007E65C4"/>
    <w:rsid w:val="007E7293"/>
    <w:rsid w:val="007E7B99"/>
    <w:rsid w:val="007F0488"/>
    <w:rsid w:val="007F068C"/>
    <w:rsid w:val="007F0FD1"/>
    <w:rsid w:val="007F11BD"/>
    <w:rsid w:val="007F14A2"/>
    <w:rsid w:val="007F20EA"/>
    <w:rsid w:val="007F29D1"/>
    <w:rsid w:val="007F2C6E"/>
    <w:rsid w:val="007F34C6"/>
    <w:rsid w:val="007F381B"/>
    <w:rsid w:val="007F3B35"/>
    <w:rsid w:val="007F3F5D"/>
    <w:rsid w:val="007F45D3"/>
    <w:rsid w:val="007F47EC"/>
    <w:rsid w:val="007F4CA7"/>
    <w:rsid w:val="007F52F1"/>
    <w:rsid w:val="007F57CA"/>
    <w:rsid w:val="007F5AFC"/>
    <w:rsid w:val="007F5FFA"/>
    <w:rsid w:val="007F79A6"/>
    <w:rsid w:val="00800BC8"/>
    <w:rsid w:val="00800BF0"/>
    <w:rsid w:val="0080123C"/>
    <w:rsid w:val="0080128E"/>
    <w:rsid w:val="00801497"/>
    <w:rsid w:val="00802729"/>
    <w:rsid w:val="00802B0E"/>
    <w:rsid w:val="00802C02"/>
    <w:rsid w:val="00803206"/>
    <w:rsid w:val="0080323B"/>
    <w:rsid w:val="008034BA"/>
    <w:rsid w:val="0080358D"/>
    <w:rsid w:val="0080568B"/>
    <w:rsid w:val="00806A3B"/>
    <w:rsid w:val="00806D0D"/>
    <w:rsid w:val="00806F02"/>
    <w:rsid w:val="00807A3B"/>
    <w:rsid w:val="00811016"/>
    <w:rsid w:val="00811047"/>
    <w:rsid w:val="008110DD"/>
    <w:rsid w:val="008126BE"/>
    <w:rsid w:val="00812B13"/>
    <w:rsid w:val="00812B7B"/>
    <w:rsid w:val="0081395B"/>
    <w:rsid w:val="00813A78"/>
    <w:rsid w:val="00814367"/>
    <w:rsid w:val="008143E1"/>
    <w:rsid w:val="00814CDD"/>
    <w:rsid w:val="00814D8D"/>
    <w:rsid w:val="00815161"/>
    <w:rsid w:val="008153A4"/>
    <w:rsid w:val="008154DB"/>
    <w:rsid w:val="00815D92"/>
    <w:rsid w:val="00815E00"/>
    <w:rsid w:val="00816082"/>
    <w:rsid w:val="008169B7"/>
    <w:rsid w:val="00817549"/>
    <w:rsid w:val="0082025D"/>
    <w:rsid w:val="0082079B"/>
    <w:rsid w:val="00820EB7"/>
    <w:rsid w:val="00821382"/>
    <w:rsid w:val="00821DB8"/>
    <w:rsid w:val="0082235E"/>
    <w:rsid w:val="00822672"/>
    <w:rsid w:val="00822876"/>
    <w:rsid w:val="00822E1D"/>
    <w:rsid w:val="00823302"/>
    <w:rsid w:val="00823865"/>
    <w:rsid w:val="00824569"/>
    <w:rsid w:val="00824CF3"/>
    <w:rsid w:val="0082515C"/>
    <w:rsid w:val="008255C3"/>
    <w:rsid w:val="00825656"/>
    <w:rsid w:val="008257A4"/>
    <w:rsid w:val="008269F9"/>
    <w:rsid w:val="008304D2"/>
    <w:rsid w:val="008309E3"/>
    <w:rsid w:val="00830C80"/>
    <w:rsid w:val="00831B16"/>
    <w:rsid w:val="0083229D"/>
    <w:rsid w:val="0083258C"/>
    <w:rsid w:val="008334C3"/>
    <w:rsid w:val="00833AD9"/>
    <w:rsid w:val="00834574"/>
    <w:rsid w:val="00834863"/>
    <w:rsid w:val="0083518F"/>
    <w:rsid w:val="00835692"/>
    <w:rsid w:val="008356DF"/>
    <w:rsid w:val="00835D6E"/>
    <w:rsid w:val="00836EE1"/>
    <w:rsid w:val="00837382"/>
    <w:rsid w:val="00840D53"/>
    <w:rsid w:val="00842862"/>
    <w:rsid w:val="00843309"/>
    <w:rsid w:val="0084385D"/>
    <w:rsid w:val="00844318"/>
    <w:rsid w:val="008445AB"/>
    <w:rsid w:val="00844607"/>
    <w:rsid w:val="008452CB"/>
    <w:rsid w:val="00846CBE"/>
    <w:rsid w:val="00846F96"/>
    <w:rsid w:val="008471A0"/>
    <w:rsid w:val="00847690"/>
    <w:rsid w:val="008477F2"/>
    <w:rsid w:val="00847EE6"/>
    <w:rsid w:val="00850D47"/>
    <w:rsid w:val="00850E90"/>
    <w:rsid w:val="00850F2A"/>
    <w:rsid w:val="008515C6"/>
    <w:rsid w:val="00853F1F"/>
    <w:rsid w:val="00854787"/>
    <w:rsid w:val="00855E9B"/>
    <w:rsid w:val="008565D8"/>
    <w:rsid w:val="00856737"/>
    <w:rsid w:val="008567F0"/>
    <w:rsid w:val="00857788"/>
    <w:rsid w:val="00857ACA"/>
    <w:rsid w:val="008600A1"/>
    <w:rsid w:val="008607CB"/>
    <w:rsid w:val="00860A63"/>
    <w:rsid w:val="0086156B"/>
    <w:rsid w:val="00862C71"/>
    <w:rsid w:val="00863642"/>
    <w:rsid w:val="00863C67"/>
    <w:rsid w:val="00863FD7"/>
    <w:rsid w:val="0086519D"/>
    <w:rsid w:val="00866DE6"/>
    <w:rsid w:val="00866E4F"/>
    <w:rsid w:val="00870465"/>
    <w:rsid w:val="00870A4B"/>
    <w:rsid w:val="00871377"/>
    <w:rsid w:val="008714FE"/>
    <w:rsid w:val="00871998"/>
    <w:rsid w:val="00871FC2"/>
    <w:rsid w:val="0087286C"/>
    <w:rsid w:val="0087395B"/>
    <w:rsid w:val="00874BEF"/>
    <w:rsid w:val="008751AA"/>
    <w:rsid w:val="00875413"/>
    <w:rsid w:val="00875B5C"/>
    <w:rsid w:val="008761E9"/>
    <w:rsid w:val="0087644F"/>
    <w:rsid w:val="008772A8"/>
    <w:rsid w:val="008776BE"/>
    <w:rsid w:val="00877A72"/>
    <w:rsid w:val="00877FAD"/>
    <w:rsid w:val="008800FA"/>
    <w:rsid w:val="0088014F"/>
    <w:rsid w:val="00880297"/>
    <w:rsid w:val="0088169E"/>
    <w:rsid w:val="00882D8C"/>
    <w:rsid w:val="008838BD"/>
    <w:rsid w:val="00884341"/>
    <w:rsid w:val="00884455"/>
    <w:rsid w:val="00884F28"/>
    <w:rsid w:val="00890097"/>
    <w:rsid w:val="00890709"/>
    <w:rsid w:val="00890AD3"/>
    <w:rsid w:val="0089169B"/>
    <w:rsid w:val="0089234A"/>
    <w:rsid w:val="0089242D"/>
    <w:rsid w:val="00892961"/>
    <w:rsid w:val="0089348F"/>
    <w:rsid w:val="0089359D"/>
    <w:rsid w:val="00893922"/>
    <w:rsid w:val="008943D3"/>
    <w:rsid w:val="008947D8"/>
    <w:rsid w:val="008959CD"/>
    <w:rsid w:val="00897AC3"/>
    <w:rsid w:val="008A01D7"/>
    <w:rsid w:val="008A1173"/>
    <w:rsid w:val="008A1213"/>
    <w:rsid w:val="008A206E"/>
    <w:rsid w:val="008A30C8"/>
    <w:rsid w:val="008A30FD"/>
    <w:rsid w:val="008A31C3"/>
    <w:rsid w:val="008A3402"/>
    <w:rsid w:val="008A351F"/>
    <w:rsid w:val="008A4066"/>
    <w:rsid w:val="008A4848"/>
    <w:rsid w:val="008A5865"/>
    <w:rsid w:val="008A6F14"/>
    <w:rsid w:val="008A7690"/>
    <w:rsid w:val="008A782E"/>
    <w:rsid w:val="008A79EF"/>
    <w:rsid w:val="008A7C2D"/>
    <w:rsid w:val="008A7C45"/>
    <w:rsid w:val="008A7E1A"/>
    <w:rsid w:val="008B0BBE"/>
    <w:rsid w:val="008B1C69"/>
    <w:rsid w:val="008B246A"/>
    <w:rsid w:val="008B2C01"/>
    <w:rsid w:val="008B2DAA"/>
    <w:rsid w:val="008B3A25"/>
    <w:rsid w:val="008B3CD9"/>
    <w:rsid w:val="008B4117"/>
    <w:rsid w:val="008B439C"/>
    <w:rsid w:val="008B45EA"/>
    <w:rsid w:val="008B4852"/>
    <w:rsid w:val="008B569A"/>
    <w:rsid w:val="008B56FC"/>
    <w:rsid w:val="008B5C6D"/>
    <w:rsid w:val="008B6016"/>
    <w:rsid w:val="008B71A0"/>
    <w:rsid w:val="008B7268"/>
    <w:rsid w:val="008C0203"/>
    <w:rsid w:val="008C0A29"/>
    <w:rsid w:val="008C162A"/>
    <w:rsid w:val="008C1D17"/>
    <w:rsid w:val="008C2FB1"/>
    <w:rsid w:val="008C507A"/>
    <w:rsid w:val="008C6F11"/>
    <w:rsid w:val="008C6FD2"/>
    <w:rsid w:val="008C724B"/>
    <w:rsid w:val="008D0216"/>
    <w:rsid w:val="008D02B9"/>
    <w:rsid w:val="008D051A"/>
    <w:rsid w:val="008D0877"/>
    <w:rsid w:val="008D0AB1"/>
    <w:rsid w:val="008D0FE5"/>
    <w:rsid w:val="008D14C1"/>
    <w:rsid w:val="008D283A"/>
    <w:rsid w:val="008D2E79"/>
    <w:rsid w:val="008D3D8D"/>
    <w:rsid w:val="008D426D"/>
    <w:rsid w:val="008D5278"/>
    <w:rsid w:val="008D6A05"/>
    <w:rsid w:val="008D7403"/>
    <w:rsid w:val="008D79F8"/>
    <w:rsid w:val="008E0987"/>
    <w:rsid w:val="008E0F3F"/>
    <w:rsid w:val="008E0FB1"/>
    <w:rsid w:val="008E17BB"/>
    <w:rsid w:val="008E20DB"/>
    <w:rsid w:val="008E22C6"/>
    <w:rsid w:val="008E23A2"/>
    <w:rsid w:val="008E2B1E"/>
    <w:rsid w:val="008E39DA"/>
    <w:rsid w:val="008E3CCC"/>
    <w:rsid w:val="008E43B9"/>
    <w:rsid w:val="008E464A"/>
    <w:rsid w:val="008E4759"/>
    <w:rsid w:val="008E47ED"/>
    <w:rsid w:val="008E4AFB"/>
    <w:rsid w:val="008E4F64"/>
    <w:rsid w:val="008E5A00"/>
    <w:rsid w:val="008E5D4E"/>
    <w:rsid w:val="008F009A"/>
    <w:rsid w:val="008F0398"/>
    <w:rsid w:val="008F0540"/>
    <w:rsid w:val="008F174D"/>
    <w:rsid w:val="008F1C4B"/>
    <w:rsid w:val="008F1E66"/>
    <w:rsid w:val="008F2727"/>
    <w:rsid w:val="008F2BB0"/>
    <w:rsid w:val="008F2EF9"/>
    <w:rsid w:val="008F38F8"/>
    <w:rsid w:val="008F4653"/>
    <w:rsid w:val="008F4D2F"/>
    <w:rsid w:val="008F4FEB"/>
    <w:rsid w:val="008F7A73"/>
    <w:rsid w:val="009006CD"/>
    <w:rsid w:val="0090105C"/>
    <w:rsid w:val="0090153A"/>
    <w:rsid w:val="0090216F"/>
    <w:rsid w:val="00902205"/>
    <w:rsid w:val="009024E6"/>
    <w:rsid w:val="0090299F"/>
    <w:rsid w:val="009030FF"/>
    <w:rsid w:val="00903294"/>
    <w:rsid w:val="0090348F"/>
    <w:rsid w:val="00903EE3"/>
    <w:rsid w:val="0090406D"/>
    <w:rsid w:val="009040FF"/>
    <w:rsid w:val="00904203"/>
    <w:rsid w:val="009047D7"/>
    <w:rsid w:val="009056D3"/>
    <w:rsid w:val="00905C78"/>
    <w:rsid w:val="00905F25"/>
    <w:rsid w:val="009061DE"/>
    <w:rsid w:val="009071B6"/>
    <w:rsid w:val="0090746D"/>
    <w:rsid w:val="009076E3"/>
    <w:rsid w:val="009078F3"/>
    <w:rsid w:val="0091007E"/>
    <w:rsid w:val="009100B7"/>
    <w:rsid w:val="00910469"/>
    <w:rsid w:val="00910698"/>
    <w:rsid w:val="0091085B"/>
    <w:rsid w:val="00910A9E"/>
    <w:rsid w:val="0091158D"/>
    <w:rsid w:val="00911DE3"/>
    <w:rsid w:val="00911FCE"/>
    <w:rsid w:val="00912D69"/>
    <w:rsid w:val="0091308E"/>
    <w:rsid w:val="0091422A"/>
    <w:rsid w:val="009144FD"/>
    <w:rsid w:val="00914E9B"/>
    <w:rsid w:val="00915084"/>
    <w:rsid w:val="0091701E"/>
    <w:rsid w:val="0091752D"/>
    <w:rsid w:val="0092018D"/>
    <w:rsid w:val="00920739"/>
    <w:rsid w:val="00920828"/>
    <w:rsid w:val="0092131A"/>
    <w:rsid w:val="00921B82"/>
    <w:rsid w:val="00923A7B"/>
    <w:rsid w:val="00923B97"/>
    <w:rsid w:val="009246C0"/>
    <w:rsid w:val="00924955"/>
    <w:rsid w:val="00925E73"/>
    <w:rsid w:val="00926520"/>
    <w:rsid w:val="00926946"/>
    <w:rsid w:val="00926B68"/>
    <w:rsid w:val="00927EE7"/>
    <w:rsid w:val="00930299"/>
    <w:rsid w:val="00931E45"/>
    <w:rsid w:val="00931F32"/>
    <w:rsid w:val="00932B52"/>
    <w:rsid w:val="009337A4"/>
    <w:rsid w:val="00934130"/>
    <w:rsid w:val="0093418D"/>
    <w:rsid w:val="00934DD8"/>
    <w:rsid w:val="00934FD0"/>
    <w:rsid w:val="00935590"/>
    <w:rsid w:val="0093567B"/>
    <w:rsid w:val="00937283"/>
    <w:rsid w:val="00937570"/>
    <w:rsid w:val="0093773D"/>
    <w:rsid w:val="00937A00"/>
    <w:rsid w:val="00940AB1"/>
    <w:rsid w:val="00940AC4"/>
    <w:rsid w:val="0094110A"/>
    <w:rsid w:val="00941242"/>
    <w:rsid w:val="009412D3"/>
    <w:rsid w:val="00941456"/>
    <w:rsid w:val="00941CBD"/>
    <w:rsid w:val="009421CA"/>
    <w:rsid w:val="009424A4"/>
    <w:rsid w:val="00942599"/>
    <w:rsid w:val="00942C8C"/>
    <w:rsid w:val="00942CF3"/>
    <w:rsid w:val="00942EE6"/>
    <w:rsid w:val="00942F24"/>
    <w:rsid w:val="009432A0"/>
    <w:rsid w:val="00943FF4"/>
    <w:rsid w:val="00944654"/>
    <w:rsid w:val="00945583"/>
    <w:rsid w:val="00945949"/>
    <w:rsid w:val="00946CF0"/>
    <w:rsid w:val="00946F87"/>
    <w:rsid w:val="009472B3"/>
    <w:rsid w:val="00947B47"/>
    <w:rsid w:val="00947D33"/>
    <w:rsid w:val="00950726"/>
    <w:rsid w:val="00951153"/>
    <w:rsid w:val="00951643"/>
    <w:rsid w:val="00952681"/>
    <w:rsid w:val="00952823"/>
    <w:rsid w:val="00953863"/>
    <w:rsid w:val="00953AA7"/>
    <w:rsid w:val="00953B6F"/>
    <w:rsid w:val="009542B9"/>
    <w:rsid w:val="0095466C"/>
    <w:rsid w:val="0095576A"/>
    <w:rsid w:val="00955B57"/>
    <w:rsid w:val="00955CC6"/>
    <w:rsid w:val="009561BF"/>
    <w:rsid w:val="00956E25"/>
    <w:rsid w:val="0095762F"/>
    <w:rsid w:val="0096007A"/>
    <w:rsid w:val="00960302"/>
    <w:rsid w:val="00960957"/>
    <w:rsid w:val="00960E85"/>
    <w:rsid w:val="009610FE"/>
    <w:rsid w:val="009616A4"/>
    <w:rsid w:val="00961B97"/>
    <w:rsid w:val="0096238E"/>
    <w:rsid w:val="00962BE0"/>
    <w:rsid w:val="00963FC9"/>
    <w:rsid w:val="009641EC"/>
    <w:rsid w:val="00965732"/>
    <w:rsid w:val="00965A95"/>
    <w:rsid w:val="0096619B"/>
    <w:rsid w:val="00966AD6"/>
    <w:rsid w:val="009671FF"/>
    <w:rsid w:val="00967412"/>
    <w:rsid w:val="00967488"/>
    <w:rsid w:val="00967F6C"/>
    <w:rsid w:val="009701D2"/>
    <w:rsid w:val="00970AA1"/>
    <w:rsid w:val="009710CF"/>
    <w:rsid w:val="00971483"/>
    <w:rsid w:val="009718A4"/>
    <w:rsid w:val="00971D99"/>
    <w:rsid w:val="00972053"/>
    <w:rsid w:val="00972684"/>
    <w:rsid w:val="00972847"/>
    <w:rsid w:val="00972CA8"/>
    <w:rsid w:val="00972DB3"/>
    <w:rsid w:val="00973109"/>
    <w:rsid w:val="00973B9E"/>
    <w:rsid w:val="009743E9"/>
    <w:rsid w:val="00974602"/>
    <w:rsid w:val="00974B41"/>
    <w:rsid w:val="00974E80"/>
    <w:rsid w:val="009752F3"/>
    <w:rsid w:val="009760DA"/>
    <w:rsid w:val="00976514"/>
    <w:rsid w:val="0097716A"/>
    <w:rsid w:val="00977D02"/>
    <w:rsid w:val="00977F60"/>
    <w:rsid w:val="00980690"/>
    <w:rsid w:val="0098074E"/>
    <w:rsid w:val="009819BC"/>
    <w:rsid w:val="00981DAF"/>
    <w:rsid w:val="0098210B"/>
    <w:rsid w:val="00982314"/>
    <w:rsid w:val="00982C5F"/>
    <w:rsid w:val="00983DF9"/>
    <w:rsid w:val="009841D2"/>
    <w:rsid w:val="00984B64"/>
    <w:rsid w:val="009852E7"/>
    <w:rsid w:val="00985584"/>
    <w:rsid w:val="00985A5B"/>
    <w:rsid w:val="00985AEE"/>
    <w:rsid w:val="009862CE"/>
    <w:rsid w:val="009903F1"/>
    <w:rsid w:val="00990A39"/>
    <w:rsid w:val="00991590"/>
    <w:rsid w:val="00991963"/>
    <w:rsid w:val="00991ADE"/>
    <w:rsid w:val="009928C9"/>
    <w:rsid w:val="0099408B"/>
    <w:rsid w:val="00994E5B"/>
    <w:rsid w:val="0099551C"/>
    <w:rsid w:val="00996042"/>
    <w:rsid w:val="00996382"/>
    <w:rsid w:val="00996813"/>
    <w:rsid w:val="009968D1"/>
    <w:rsid w:val="009976C7"/>
    <w:rsid w:val="00997AA9"/>
    <w:rsid w:val="00997DCA"/>
    <w:rsid w:val="00997F2B"/>
    <w:rsid w:val="009A0562"/>
    <w:rsid w:val="009A05DA"/>
    <w:rsid w:val="009A0689"/>
    <w:rsid w:val="009A0AB4"/>
    <w:rsid w:val="009A1E55"/>
    <w:rsid w:val="009A2136"/>
    <w:rsid w:val="009A23D3"/>
    <w:rsid w:val="009A2BC3"/>
    <w:rsid w:val="009A32CB"/>
    <w:rsid w:val="009A381C"/>
    <w:rsid w:val="009A3C26"/>
    <w:rsid w:val="009A3C56"/>
    <w:rsid w:val="009A4850"/>
    <w:rsid w:val="009A4FFE"/>
    <w:rsid w:val="009A5F8F"/>
    <w:rsid w:val="009A6451"/>
    <w:rsid w:val="009A6E66"/>
    <w:rsid w:val="009A78C4"/>
    <w:rsid w:val="009A796B"/>
    <w:rsid w:val="009A7B25"/>
    <w:rsid w:val="009A7B9E"/>
    <w:rsid w:val="009B002D"/>
    <w:rsid w:val="009B05A5"/>
    <w:rsid w:val="009B06AF"/>
    <w:rsid w:val="009B07A3"/>
    <w:rsid w:val="009B0D0B"/>
    <w:rsid w:val="009B10A6"/>
    <w:rsid w:val="009B1131"/>
    <w:rsid w:val="009B2198"/>
    <w:rsid w:val="009B24A5"/>
    <w:rsid w:val="009B26F7"/>
    <w:rsid w:val="009B27B8"/>
    <w:rsid w:val="009B2C2C"/>
    <w:rsid w:val="009B2E4A"/>
    <w:rsid w:val="009B32E9"/>
    <w:rsid w:val="009B3627"/>
    <w:rsid w:val="009B4313"/>
    <w:rsid w:val="009B4401"/>
    <w:rsid w:val="009B4ABC"/>
    <w:rsid w:val="009B4E7A"/>
    <w:rsid w:val="009B521C"/>
    <w:rsid w:val="009B53FF"/>
    <w:rsid w:val="009B5682"/>
    <w:rsid w:val="009B6293"/>
    <w:rsid w:val="009B64BE"/>
    <w:rsid w:val="009B688E"/>
    <w:rsid w:val="009B7E87"/>
    <w:rsid w:val="009C0882"/>
    <w:rsid w:val="009C08FB"/>
    <w:rsid w:val="009C1647"/>
    <w:rsid w:val="009C1E99"/>
    <w:rsid w:val="009C2785"/>
    <w:rsid w:val="009C32FB"/>
    <w:rsid w:val="009C359A"/>
    <w:rsid w:val="009C3B28"/>
    <w:rsid w:val="009C4121"/>
    <w:rsid w:val="009C418E"/>
    <w:rsid w:val="009C437E"/>
    <w:rsid w:val="009C4F56"/>
    <w:rsid w:val="009C5EB3"/>
    <w:rsid w:val="009C5F9C"/>
    <w:rsid w:val="009C605F"/>
    <w:rsid w:val="009C6B30"/>
    <w:rsid w:val="009C6E1C"/>
    <w:rsid w:val="009C728B"/>
    <w:rsid w:val="009C7DAB"/>
    <w:rsid w:val="009D02E2"/>
    <w:rsid w:val="009D03E8"/>
    <w:rsid w:val="009D0BFE"/>
    <w:rsid w:val="009D29FA"/>
    <w:rsid w:val="009D3472"/>
    <w:rsid w:val="009D36EB"/>
    <w:rsid w:val="009D3A4A"/>
    <w:rsid w:val="009D3B40"/>
    <w:rsid w:val="009D485E"/>
    <w:rsid w:val="009D5131"/>
    <w:rsid w:val="009D5374"/>
    <w:rsid w:val="009D55E8"/>
    <w:rsid w:val="009D5745"/>
    <w:rsid w:val="009D5BFC"/>
    <w:rsid w:val="009D5F88"/>
    <w:rsid w:val="009D61BB"/>
    <w:rsid w:val="009D64E6"/>
    <w:rsid w:val="009E00DC"/>
    <w:rsid w:val="009E0B28"/>
    <w:rsid w:val="009E0E26"/>
    <w:rsid w:val="009E15E4"/>
    <w:rsid w:val="009E165C"/>
    <w:rsid w:val="009E24BC"/>
    <w:rsid w:val="009E335D"/>
    <w:rsid w:val="009E365A"/>
    <w:rsid w:val="009E369F"/>
    <w:rsid w:val="009E447F"/>
    <w:rsid w:val="009E4937"/>
    <w:rsid w:val="009E4F2E"/>
    <w:rsid w:val="009E5408"/>
    <w:rsid w:val="009E5B10"/>
    <w:rsid w:val="009E61B5"/>
    <w:rsid w:val="009E6ACD"/>
    <w:rsid w:val="009E7D40"/>
    <w:rsid w:val="009F044A"/>
    <w:rsid w:val="009F0902"/>
    <w:rsid w:val="009F1051"/>
    <w:rsid w:val="009F1AAD"/>
    <w:rsid w:val="009F1D66"/>
    <w:rsid w:val="009F1F64"/>
    <w:rsid w:val="009F20A6"/>
    <w:rsid w:val="009F2513"/>
    <w:rsid w:val="009F3502"/>
    <w:rsid w:val="009F42AF"/>
    <w:rsid w:val="009F4D31"/>
    <w:rsid w:val="009F4F49"/>
    <w:rsid w:val="009F70B7"/>
    <w:rsid w:val="009F75DE"/>
    <w:rsid w:val="009F7AA7"/>
    <w:rsid w:val="00A00BA5"/>
    <w:rsid w:val="00A01682"/>
    <w:rsid w:val="00A019E7"/>
    <w:rsid w:val="00A02441"/>
    <w:rsid w:val="00A02895"/>
    <w:rsid w:val="00A03A10"/>
    <w:rsid w:val="00A0515C"/>
    <w:rsid w:val="00A052FF"/>
    <w:rsid w:val="00A062EF"/>
    <w:rsid w:val="00A0682D"/>
    <w:rsid w:val="00A105CD"/>
    <w:rsid w:val="00A1136D"/>
    <w:rsid w:val="00A11AE2"/>
    <w:rsid w:val="00A121FB"/>
    <w:rsid w:val="00A12B9C"/>
    <w:rsid w:val="00A1343B"/>
    <w:rsid w:val="00A1392E"/>
    <w:rsid w:val="00A14B2F"/>
    <w:rsid w:val="00A1500A"/>
    <w:rsid w:val="00A15626"/>
    <w:rsid w:val="00A1602A"/>
    <w:rsid w:val="00A163E4"/>
    <w:rsid w:val="00A16753"/>
    <w:rsid w:val="00A16817"/>
    <w:rsid w:val="00A16AC1"/>
    <w:rsid w:val="00A175C6"/>
    <w:rsid w:val="00A17751"/>
    <w:rsid w:val="00A206EB"/>
    <w:rsid w:val="00A20751"/>
    <w:rsid w:val="00A20E88"/>
    <w:rsid w:val="00A20F7E"/>
    <w:rsid w:val="00A211E0"/>
    <w:rsid w:val="00A224D0"/>
    <w:rsid w:val="00A23580"/>
    <w:rsid w:val="00A2373E"/>
    <w:rsid w:val="00A23EBD"/>
    <w:rsid w:val="00A240E2"/>
    <w:rsid w:val="00A24123"/>
    <w:rsid w:val="00A24525"/>
    <w:rsid w:val="00A2494F"/>
    <w:rsid w:val="00A2497D"/>
    <w:rsid w:val="00A25777"/>
    <w:rsid w:val="00A25E4C"/>
    <w:rsid w:val="00A25E8B"/>
    <w:rsid w:val="00A26422"/>
    <w:rsid w:val="00A2782A"/>
    <w:rsid w:val="00A27BB8"/>
    <w:rsid w:val="00A300F1"/>
    <w:rsid w:val="00A31475"/>
    <w:rsid w:val="00A32397"/>
    <w:rsid w:val="00A3350E"/>
    <w:rsid w:val="00A33F3F"/>
    <w:rsid w:val="00A33F7F"/>
    <w:rsid w:val="00A33FAA"/>
    <w:rsid w:val="00A34014"/>
    <w:rsid w:val="00A34F02"/>
    <w:rsid w:val="00A3532B"/>
    <w:rsid w:val="00A35399"/>
    <w:rsid w:val="00A35524"/>
    <w:rsid w:val="00A356C5"/>
    <w:rsid w:val="00A35B95"/>
    <w:rsid w:val="00A360E0"/>
    <w:rsid w:val="00A3628B"/>
    <w:rsid w:val="00A364F6"/>
    <w:rsid w:val="00A36B52"/>
    <w:rsid w:val="00A372EC"/>
    <w:rsid w:val="00A37799"/>
    <w:rsid w:val="00A37BF0"/>
    <w:rsid w:val="00A37FEE"/>
    <w:rsid w:val="00A40DC7"/>
    <w:rsid w:val="00A4117C"/>
    <w:rsid w:val="00A411A7"/>
    <w:rsid w:val="00A4187D"/>
    <w:rsid w:val="00A4211E"/>
    <w:rsid w:val="00A422FF"/>
    <w:rsid w:val="00A426AC"/>
    <w:rsid w:val="00A433DF"/>
    <w:rsid w:val="00A434AC"/>
    <w:rsid w:val="00A43519"/>
    <w:rsid w:val="00A43A84"/>
    <w:rsid w:val="00A44137"/>
    <w:rsid w:val="00A44783"/>
    <w:rsid w:val="00A44CD0"/>
    <w:rsid w:val="00A4555A"/>
    <w:rsid w:val="00A4588E"/>
    <w:rsid w:val="00A45A88"/>
    <w:rsid w:val="00A45DBD"/>
    <w:rsid w:val="00A4607B"/>
    <w:rsid w:val="00A460DD"/>
    <w:rsid w:val="00A46A87"/>
    <w:rsid w:val="00A46B76"/>
    <w:rsid w:val="00A4745C"/>
    <w:rsid w:val="00A50E73"/>
    <w:rsid w:val="00A51278"/>
    <w:rsid w:val="00A51529"/>
    <w:rsid w:val="00A51634"/>
    <w:rsid w:val="00A51662"/>
    <w:rsid w:val="00A51984"/>
    <w:rsid w:val="00A5207F"/>
    <w:rsid w:val="00A5231A"/>
    <w:rsid w:val="00A5246E"/>
    <w:rsid w:val="00A5285B"/>
    <w:rsid w:val="00A53035"/>
    <w:rsid w:val="00A5323E"/>
    <w:rsid w:val="00A5326F"/>
    <w:rsid w:val="00A535C7"/>
    <w:rsid w:val="00A53945"/>
    <w:rsid w:val="00A54B77"/>
    <w:rsid w:val="00A54FB1"/>
    <w:rsid w:val="00A5527C"/>
    <w:rsid w:val="00A565EA"/>
    <w:rsid w:val="00A56651"/>
    <w:rsid w:val="00A5666B"/>
    <w:rsid w:val="00A579F3"/>
    <w:rsid w:val="00A6063B"/>
    <w:rsid w:val="00A612B5"/>
    <w:rsid w:val="00A6187D"/>
    <w:rsid w:val="00A61DCE"/>
    <w:rsid w:val="00A623F9"/>
    <w:rsid w:val="00A6345C"/>
    <w:rsid w:val="00A64624"/>
    <w:rsid w:val="00A64E49"/>
    <w:rsid w:val="00A64E67"/>
    <w:rsid w:val="00A656C6"/>
    <w:rsid w:val="00A6636D"/>
    <w:rsid w:val="00A67627"/>
    <w:rsid w:val="00A700C9"/>
    <w:rsid w:val="00A70B02"/>
    <w:rsid w:val="00A70C1D"/>
    <w:rsid w:val="00A713B8"/>
    <w:rsid w:val="00A719D0"/>
    <w:rsid w:val="00A71BDE"/>
    <w:rsid w:val="00A72937"/>
    <w:rsid w:val="00A7330F"/>
    <w:rsid w:val="00A74B05"/>
    <w:rsid w:val="00A75BB6"/>
    <w:rsid w:val="00A75DCA"/>
    <w:rsid w:val="00A75F89"/>
    <w:rsid w:val="00A763CD"/>
    <w:rsid w:val="00A7690B"/>
    <w:rsid w:val="00A77CDB"/>
    <w:rsid w:val="00A804B0"/>
    <w:rsid w:val="00A81B44"/>
    <w:rsid w:val="00A81E60"/>
    <w:rsid w:val="00A827D0"/>
    <w:rsid w:val="00A82948"/>
    <w:rsid w:val="00A82F97"/>
    <w:rsid w:val="00A830E7"/>
    <w:rsid w:val="00A8328A"/>
    <w:rsid w:val="00A83DB6"/>
    <w:rsid w:val="00A83E72"/>
    <w:rsid w:val="00A83FCC"/>
    <w:rsid w:val="00A84B76"/>
    <w:rsid w:val="00A84D6A"/>
    <w:rsid w:val="00A852C6"/>
    <w:rsid w:val="00A855F6"/>
    <w:rsid w:val="00A8608F"/>
    <w:rsid w:val="00A86328"/>
    <w:rsid w:val="00A86659"/>
    <w:rsid w:val="00A87037"/>
    <w:rsid w:val="00A87A3E"/>
    <w:rsid w:val="00A87B19"/>
    <w:rsid w:val="00A87EB0"/>
    <w:rsid w:val="00A90621"/>
    <w:rsid w:val="00A91099"/>
    <w:rsid w:val="00A91958"/>
    <w:rsid w:val="00A91A62"/>
    <w:rsid w:val="00A92092"/>
    <w:rsid w:val="00A93090"/>
    <w:rsid w:val="00A93177"/>
    <w:rsid w:val="00A9347F"/>
    <w:rsid w:val="00A95A8F"/>
    <w:rsid w:val="00A963AD"/>
    <w:rsid w:val="00A968C9"/>
    <w:rsid w:val="00A96EC5"/>
    <w:rsid w:val="00A973CD"/>
    <w:rsid w:val="00A9775F"/>
    <w:rsid w:val="00A97ECB"/>
    <w:rsid w:val="00AA0183"/>
    <w:rsid w:val="00AA1573"/>
    <w:rsid w:val="00AA294C"/>
    <w:rsid w:val="00AA2DDA"/>
    <w:rsid w:val="00AA2FE4"/>
    <w:rsid w:val="00AA326B"/>
    <w:rsid w:val="00AA3AD9"/>
    <w:rsid w:val="00AA4628"/>
    <w:rsid w:val="00AA4A6A"/>
    <w:rsid w:val="00AA4AC4"/>
    <w:rsid w:val="00AA4C0B"/>
    <w:rsid w:val="00AA7114"/>
    <w:rsid w:val="00AB0E4B"/>
    <w:rsid w:val="00AB0EFA"/>
    <w:rsid w:val="00AB1A21"/>
    <w:rsid w:val="00AB1B16"/>
    <w:rsid w:val="00AB2E26"/>
    <w:rsid w:val="00AB387D"/>
    <w:rsid w:val="00AB4DC2"/>
    <w:rsid w:val="00AB590E"/>
    <w:rsid w:val="00AB6495"/>
    <w:rsid w:val="00AB7F9B"/>
    <w:rsid w:val="00AC03D4"/>
    <w:rsid w:val="00AC05D7"/>
    <w:rsid w:val="00AC0AD7"/>
    <w:rsid w:val="00AC1559"/>
    <w:rsid w:val="00AC15ED"/>
    <w:rsid w:val="00AC1D77"/>
    <w:rsid w:val="00AC1FA0"/>
    <w:rsid w:val="00AC343E"/>
    <w:rsid w:val="00AC3EB8"/>
    <w:rsid w:val="00AC46B5"/>
    <w:rsid w:val="00AC4D77"/>
    <w:rsid w:val="00AC51CD"/>
    <w:rsid w:val="00AC51FC"/>
    <w:rsid w:val="00AC6408"/>
    <w:rsid w:val="00AC6A9C"/>
    <w:rsid w:val="00AC6E98"/>
    <w:rsid w:val="00AD0444"/>
    <w:rsid w:val="00AD131C"/>
    <w:rsid w:val="00AD1397"/>
    <w:rsid w:val="00AD155A"/>
    <w:rsid w:val="00AD1758"/>
    <w:rsid w:val="00AD1BC7"/>
    <w:rsid w:val="00AD1D8F"/>
    <w:rsid w:val="00AD2145"/>
    <w:rsid w:val="00AD2440"/>
    <w:rsid w:val="00AD2A4B"/>
    <w:rsid w:val="00AD2A91"/>
    <w:rsid w:val="00AD2C80"/>
    <w:rsid w:val="00AD2DC6"/>
    <w:rsid w:val="00AD3F91"/>
    <w:rsid w:val="00AD4DFD"/>
    <w:rsid w:val="00AD5C15"/>
    <w:rsid w:val="00AD7A02"/>
    <w:rsid w:val="00AE058F"/>
    <w:rsid w:val="00AE0A5A"/>
    <w:rsid w:val="00AE0A75"/>
    <w:rsid w:val="00AE14D5"/>
    <w:rsid w:val="00AE1929"/>
    <w:rsid w:val="00AE1AD7"/>
    <w:rsid w:val="00AE1C89"/>
    <w:rsid w:val="00AE1F00"/>
    <w:rsid w:val="00AE2916"/>
    <w:rsid w:val="00AE2AC8"/>
    <w:rsid w:val="00AE336F"/>
    <w:rsid w:val="00AE35B8"/>
    <w:rsid w:val="00AE3B89"/>
    <w:rsid w:val="00AE54A2"/>
    <w:rsid w:val="00AE55C0"/>
    <w:rsid w:val="00AE5F95"/>
    <w:rsid w:val="00AE663E"/>
    <w:rsid w:val="00AE6B24"/>
    <w:rsid w:val="00AE738E"/>
    <w:rsid w:val="00AE7DA0"/>
    <w:rsid w:val="00AF0394"/>
    <w:rsid w:val="00AF05AE"/>
    <w:rsid w:val="00AF1577"/>
    <w:rsid w:val="00AF1CDC"/>
    <w:rsid w:val="00AF1EFC"/>
    <w:rsid w:val="00AF2756"/>
    <w:rsid w:val="00AF29EC"/>
    <w:rsid w:val="00AF2F8C"/>
    <w:rsid w:val="00AF313C"/>
    <w:rsid w:val="00AF387C"/>
    <w:rsid w:val="00AF3DD0"/>
    <w:rsid w:val="00AF4B39"/>
    <w:rsid w:val="00AF5D81"/>
    <w:rsid w:val="00AF5D8B"/>
    <w:rsid w:val="00AF68EC"/>
    <w:rsid w:val="00AF693D"/>
    <w:rsid w:val="00AF7374"/>
    <w:rsid w:val="00AF7C79"/>
    <w:rsid w:val="00B0032C"/>
    <w:rsid w:val="00B00701"/>
    <w:rsid w:val="00B00881"/>
    <w:rsid w:val="00B00ECC"/>
    <w:rsid w:val="00B013A6"/>
    <w:rsid w:val="00B017FE"/>
    <w:rsid w:val="00B01B38"/>
    <w:rsid w:val="00B026F9"/>
    <w:rsid w:val="00B03AD5"/>
    <w:rsid w:val="00B04614"/>
    <w:rsid w:val="00B04623"/>
    <w:rsid w:val="00B047E2"/>
    <w:rsid w:val="00B04CD9"/>
    <w:rsid w:val="00B04E28"/>
    <w:rsid w:val="00B05167"/>
    <w:rsid w:val="00B05495"/>
    <w:rsid w:val="00B0579D"/>
    <w:rsid w:val="00B066ED"/>
    <w:rsid w:val="00B067C2"/>
    <w:rsid w:val="00B06956"/>
    <w:rsid w:val="00B06B94"/>
    <w:rsid w:val="00B070B4"/>
    <w:rsid w:val="00B07234"/>
    <w:rsid w:val="00B07461"/>
    <w:rsid w:val="00B07790"/>
    <w:rsid w:val="00B07B62"/>
    <w:rsid w:val="00B10597"/>
    <w:rsid w:val="00B1067B"/>
    <w:rsid w:val="00B10BD5"/>
    <w:rsid w:val="00B111DE"/>
    <w:rsid w:val="00B11DFD"/>
    <w:rsid w:val="00B11FFB"/>
    <w:rsid w:val="00B1280E"/>
    <w:rsid w:val="00B1313A"/>
    <w:rsid w:val="00B1329A"/>
    <w:rsid w:val="00B133FB"/>
    <w:rsid w:val="00B13D9D"/>
    <w:rsid w:val="00B14132"/>
    <w:rsid w:val="00B150C9"/>
    <w:rsid w:val="00B15790"/>
    <w:rsid w:val="00B158CA"/>
    <w:rsid w:val="00B16BE0"/>
    <w:rsid w:val="00B16E3F"/>
    <w:rsid w:val="00B173B0"/>
    <w:rsid w:val="00B173FD"/>
    <w:rsid w:val="00B17714"/>
    <w:rsid w:val="00B1775F"/>
    <w:rsid w:val="00B20416"/>
    <w:rsid w:val="00B20BA3"/>
    <w:rsid w:val="00B232A2"/>
    <w:rsid w:val="00B2343C"/>
    <w:rsid w:val="00B23716"/>
    <w:rsid w:val="00B23A0F"/>
    <w:rsid w:val="00B25ADD"/>
    <w:rsid w:val="00B262F5"/>
    <w:rsid w:val="00B264ED"/>
    <w:rsid w:val="00B26BEB"/>
    <w:rsid w:val="00B277F2"/>
    <w:rsid w:val="00B278B5"/>
    <w:rsid w:val="00B303D4"/>
    <w:rsid w:val="00B30F79"/>
    <w:rsid w:val="00B31380"/>
    <w:rsid w:val="00B31598"/>
    <w:rsid w:val="00B31AEB"/>
    <w:rsid w:val="00B32878"/>
    <w:rsid w:val="00B32A44"/>
    <w:rsid w:val="00B334BA"/>
    <w:rsid w:val="00B3363E"/>
    <w:rsid w:val="00B33785"/>
    <w:rsid w:val="00B33E14"/>
    <w:rsid w:val="00B3449B"/>
    <w:rsid w:val="00B3450A"/>
    <w:rsid w:val="00B361A3"/>
    <w:rsid w:val="00B366B4"/>
    <w:rsid w:val="00B36FDC"/>
    <w:rsid w:val="00B3752F"/>
    <w:rsid w:val="00B375A6"/>
    <w:rsid w:val="00B379DF"/>
    <w:rsid w:val="00B405C4"/>
    <w:rsid w:val="00B41224"/>
    <w:rsid w:val="00B41254"/>
    <w:rsid w:val="00B4183C"/>
    <w:rsid w:val="00B418CD"/>
    <w:rsid w:val="00B428D9"/>
    <w:rsid w:val="00B42ACE"/>
    <w:rsid w:val="00B44AD0"/>
    <w:rsid w:val="00B46A7F"/>
    <w:rsid w:val="00B47829"/>
    <w:rsid w:val="00B505EC"/>
    <w:rsid w:val="00B52D55"/>
    <w:rsid w:val="00B53E57"/>
    <w:rsid w:val="00B542B1"/>
    <w:rsid w:val="00B5542F"/>
    <w:rsid w:val="00B55D06"/>
    <w:rsid w:val="00B563C9"/>
    <w:rsid w:val="00B57335"/>
    <w:rsid w:val="00B5758D"/>
    <w:rsid w:val="00B57597"/>
    <w:rsid w:val="00B575F6"/>
    <w:rsid w:val="00B6096A"/>
    <w:rsid w:val="00B60D70"/>
    <w:rsid w:val="00B60DA7"/>
    <w:rsid w:val="00B60FA1"/>
    <w:rsid w:val="00B618EF"/>
    <w:rsid w:val="00B622E1"/>
    <w:rsid w:val="00B623EA"/>
    <w:rsid w:val="00B62A6D"/>
    <w:rsid w:val="00B6309E"/>
    <w:rsid w:val="00B63767"/>
    <w:rsid w:val="00B63780"/>
    <w:rsid w:val="00B650FA"/>
    <w:rsid w:val="00B65244"/>
    <w:rsid w:val="00B65680"/>
    <w:rsid w:val="00B65CA8"/>
    <w:rsid w:val="00B65FF6"/>
    <w:rsid w:val="00B66015"/>
    <w:rsid w:val="00B66770"/>
    <w:rsid w:val="00B66B3A"/>
    <w:rsid w:val="00B66ED6"/>
    <w:rsid w:val="00B677F3"/>
    <w:rsid w:val="00B70668"/>
    <w:rsid w:val="00B70F68"/>
    <w:rsid w:val="00B7104F"/>
    <w:rsid w:val="00B71054"/>
    <w:rsid w:val="00B71453"/>
    <w:rsid w:val="00B71568"/>
    <w:rsid w:val="00B71A22"/>
    <w:rsid w:val="00B7205D"/>
    <w:rsid w:val="00B721D5"/>
    <w:rsid w:val="00B737A4"/>
    <w:rsid w:val="00B74492"/>
    <w:rsid w:val="00B7494D"/>
    <w:rsid w:val="00B75911"/>
    <w:rsid w:val="00B76A93"/>
    <w:rsid w:val="00B76CBC"/>
    <w:rsid w:val="00B80481"/>
    <w:rsid w:val="00B80C69"/>
    <w:rsid w:val="00B81347"/>
    <w:rsid w:val="00B81B3F"/>
    <w:rsid w:val="00B81BDA"/>
    <w:rsid w:val="00B81F6A"/>
    <w:rsid w:val="00B8531F"/>
    <w:rsid w:val="00B8581D"/>
    <w:rsid w:val="00B8665A"/>
    <w:rsid w:val="00B86E94"/>
    <w:rsid w:val="00B90E48"/>
    <w:rsid w:val="00B90F91"/>
    <w:rsid w:val="00B9384F"/>
    <w:rsid w:val="00B957BD"/>
    <w:rsid w:val="00B95D79"/>
    <w:rsid w:val="00B960A1"/>
    <w:rsid w:val="00B964B6"/>
    <w:rsid w:val="00BA066D"/>
    <w:rsid w:val="00BA0CB1"/>
    <w:rsid w:val="00BA0D15"/>
    <w:rsid w:val="00BA0F35"/>
    <w:rsid w:val="00BA14DB"/>
    <w:rsid w:val="00BA1D9B"/>
    <w:rsid w:val="00BA1E78"/>
    <w:rsid w:val="00BA290F"/>
    <w:rsid w:val="00BA3DE0"/>
    <w:rsid w:val="00BA4014"/>
    <w:rsid w:val="00BA4234"/>
    <w:rsid w:val="00BA44AE"/>
    <w:rsid w:val="00BA4B6D"/>
    <w:rsid w:val="00BA4EB8"/>
    <w:rsid w:val="00BA52C5"/>
    <w:rsid w:val="00BA64E2"/>
    <w:rsid w:val="00BA66A7"/>
    <w:rsid w:val="00BB0684"/>
    <w:rsid w:val="00BB0CED"/>
    <w:rsid w:val="00BB1836"/>
    <w:rsid w:val="00BB210F"/>
    <w:rsid w:val="00BB21C2"/>
    <w:rsid w:val="00BB3BD9"/>
    <w:rsid w:val="00BB3C95"/>
    <w:rsid w:val="00BB4293"/>
    <w:rsid w:val="00BB4958"/>
    <w:rsid w:val="00BB4A10"/>
    <w:rsid w:val="00BB4ECB"/>
    <w:rsid w:val="00BB5727"/>
    <w:rsid w:val="00BB646D"/>
    <w:rsid w:val="00BB68C7"/>
    <w:rsid w:val="00BB6EA0"/>
    <w:rsid w:val="00BB788C"/>
    <w:rsid w:val="00BB79A6"/>
    <w:rsid w:val="00BC0119"/>
    <w:rsid w:val="00BC07AA"/>
    <w:rsid w:val="00BC07D2"/>
    <w:rsid w:val="00BC1073"/>
    <w:rsid w:val="00BC17C7"/>
    <w:rsid w:val="00BC271C"/>
    <w:rsid w:val="00BD03A9"/>
    <w:rsid w:val="00BD0CCF"/>
    <w:rsid w:val="00BD1FE9"/>
    <w:rsid w:val="00BD208E"/>
    <w:rsid w:val="00BD222A"/>
    <w:rsid w:val="00BD2DCB"/>
    <w:rsid w:val="00BD2ECB"/>
    <w:rsid w:val="00BD2ED5"/>
    <w:rsid w:val="00BD2F97"/>
    <w:rsid w:val="00BD3809"/>
    <w:rsid w:val="00BD3CA8"/>
    <w:rsid w:val="00BD3D19"/>
    <w:rsid w:val="00BD4276"/>
    <w:rsid w:val="00BD484B"/>
    <w:rsid w:val="00BD4D08"/>
    <w:rsid w:val="00BD52CF"/>
    <w:rsid w:val="00BD61F1"/>
    <w:rsid w:val="00BD711A"/>
    <w:rsid w:val="00BD72E3"/>
    <w:rsid w:val="00BD739F"/>
    <w:rsid w:val="00BD7A93"/>
    <w:rsid w:val="00BD7A95"/>
    <w:rsid w:val="00BD7C85"/>
    <w:rsid w:val="00BE0FE4"/>
    <w:rsid w:val="00BE1048"/>
    <w:rsid w:val="00BE122C"/>
    <w:rsid w:val="00BE1611"/>
    <w:rsid w:val="00BE1967"/>
    <w:rsid w:val="00BE1EB8"/>
    <w:rsid w:val="00BE22CA"/>
    <w:rsid w:val="00BE241C"/>
    <w:rsid w:val="00BE30EC"/>
    <w:rsid w:val="00BE3108"/>
    <w:rsid w:val="00BE3D8C"/>
    <w:rsid w:val="00BE4682"/>
    <w:rsid w:val="00BE64CF"/>
    <w:rsid w:val="00BE6B98"/>
    <w:rsid w:val="00BE7004"/>
    <w:rsid w:val="00BE710B"/>
    <w:rsid w:val="00BE74CD"/>
    <w:rsid w:val="00BE788A"/>
    <w:rsid w:val="00BF0547"/>
    <w:rsid w:val="00BF0775"/>
    <w:rsid w:val="00BF0824"/>
    <w:rsid w:val="00BF0E72"/>
    <w:rsid w:val="00BF1440"/>
    <w:rsid w:val="00BF2434"/>
    <w:rsid w:val="00BF2CFE"/>
    <w:rsid w:val="00BF3C51"/>
    <w:rsid w:val="00BF4527"/>
    <w:rsid w:val="00BF49EF"/>
    <w:rsid w:val="00BF4B83"/>
    <w:rsid w:val="00BF5795"/>
    <w:rsid w:val="00BF5BC7"/>
    <w:rsid w:val="00BF5FA3"/>
    <w:rsid w:val="00BF6017"/>
    <w:rsid w:val="00BF7F30"/>
    <w:rsid w:val="00C0032E"/>
    <w:rsid w:val="00C003C1"/>
    <w:rsid w:val="00C00A58"/>
    <w:rsid w:val="00C00C1A"/>
    <w:rsid w:val="00C01435"/>
    <w:rsid w:val="00C01DE9"/>
    <w:rsid w:val="00C030AF"/>
    <w:rsid w:val="00C03983"/>
    <w:rsid w:val="00C03C7A"/>
    <w:rsid w:val="00C04393"/>
    <w:rsid w:val="00C044DF"/>
    <w:rsid w:val="00C04FDC"/>
    <w:rsid w:val="00C0528F"/>
    <w:rsid w:val="00C05A60"/>
    <w:rsid w:val="00C06E57"/>
    <w:rsid w:val="00C07396"/>
    <w:rsid w:val="00C07645"/>
    <w:rsid w:val="00C079E9"/>
    <w:rsid w:val="00C07FD4"/>
    <w:rsid w:val="00C101FD"/>
    <w:rsid w:val="00C10B00"/>
    <w:rsid w:val="00C11202"/>
    <w:rsid w:val="00C119B4"/>
    <w:rsid w:val="00C1250E"/>
    <w:rsid w:val="00C12D1E"/>
    <w:rsid w:val="00C13877"/>
    <w:rsid w:val="00C140A7"/>
    <w:rsid w:val="00C141F4"/>
    <w:rsid w:val="00C1434C"/>
    <w:rsid w:val="00C15527"/>
    <w:rsid w:val="00C156D5"/>
    <w:rsid w:val="00C15866"/>
    <w:rsid w:val="00C16375"/>
    <w:rsid w:val="00C172A2"/>
    <w:rsid w:val="00C172F2"/>
    <w:rsid w:val="00C175B7"/>
    <w:rsid w:val="00C17BE6"/>
    <w:rsid w:val="00C17F88"/>
    <w:rsid w:val="00C20131"/>
    <w:rsid w:val="00C20429"/>
    <w:rsid w:val="00C214B7"/>
    <w:rsid w:val="00C229CA"/>
    <w:rsid w:val="00C2329F"/>
    <w:rsid w:val="00C2411A"/>
    <w:rsid w:val="00C24344"/>
    <w:rsid w:val="00C24AD3"/>
    <w:rsid w:val="00C250B4"/>
    <w:rsid w:val="00C2608E"/>
    <w:rsid w:val="00C26F33"/>
    <w:rsid w:val="00C27968"/>
    <w:rsid w:val="00C27E2F"/>
    <w:rsid w:val="00C3076C"/>
    <w:rsid w:val="00C307F5"/>
    <w:rsid w:val="00C30E4A"/>
    <w:rsid w:val="00C3131B"/>
    <w:rsid w:val="00C31F43"/>
    <w:rsid w:val="00C32AEA"/>
    <w:rsid w:val="00C33240"/>
    <w:rsid w:val="00C33AE6"/>
    <w:rsid w:val="00C33D71"/>
    <w:rsid w:val="00C34E76"/>
    <w:rsid w:val="00C353DF"/>
    <w:rsid w:val="00C3566E"/>
    <w:rsid w:val="00C35835"/>
    <w:rsid w:val="00C35A85"/>
    <w:rsid w:val="00C35E41"/>
    <w:rsid w:val="00C370DA"/>
    <w:rsid w:val="00C3720E"/>
    <w:rsid w:val="00C376FE"/>
    <w:rsid w:val="00C37A8F"/>
    <w:rsid w:val="00C40215"/>
    <w:rsid w:val="00C409E2"/>
    <w:rsid w:val="00C41A8D"/>
    <w:rsid w:val="00C42186"/>
    <w:rsid w:val="00C42B55"/>
    <w:rsid w:val="00C43700"/>
    <w:rsid w:val="00C43802"/>
    <w:rsid w:val="00C43EC0"/>
    <w:rsid w:val="00C45173"/>
    <w:rsid w:val="00C46905"/>
    <w:rsid w:val="00C535DB"/>
    <w:rsid w:val="00C538F1"/>
    <w:rsid w:val="00C53FDF"/>
    <w:rsid w:val="00C54697"/>
    <w:rsid w:val="00C55235"/>
    <w:rsid w:val="00C554D7"/>
    <w:rsid w:val="00C55AAB"/>
    <w:rsid w:val="00C56131"/>
    <w:rsid w:val="00C56FA2"/>
    <w:rsid w:val="00C571CB"/>
    <w:rsid w:val="00C5789F"/>
    <w:rsid w:val="00C610E5"/>
    <w:rsid w:val="00C6172E"/>
    <w:rsid w:val="00C6189A"/>
    <w:rsid w:val="00C61D33"/>
    <w:rsid w:val="00C61E33"/>
    <w:rsid w:val="00C62A0D"/>
    <w:rsid w:val="00C63637"/>
    <w:rsid w:val="00C639ED"/>
    <w:rsid w:val="00C63AEB"/>
    <w:rsid w:val="00C63D0A"/>
    <w:rsid w:val="00C63FBA"/>
    <w:rsid w:val="00C64FD7"/>
    <w:rsid w:val="00C66532"/>
    <w:rsid w:val="00C66E34"/>
    <w:rsid w:val="00C66F48"/>
    <w:rsid w:val="00C67366"/>
    <w:rsid w:val="00C67438"/>
    <w:rsid w:val="00C67D6F"/>
    <w:rsid w:val="00C71993"/>
    <w:rsid w:val="00C719C7"/>
    <w:rsid w:val="00C71E3E"/>
    <w:rsid w:val="00C71E77"/>
    <w:rsid w:val="00C72F32"/>
    <w:rsid w:val="00C73418"/>
    <w:rsid w:val="00C7419E"/>
    <w:rsid w:val="00C74892"/>
    <w:rsid w:val="00C74DBC"/>
    <w:rsid w:val="00C74FAE"/>
    <w:rsid w:val="00C757E2"/>
    <w:rsid w:val="00C75CD8"/>
    <w:rsid w:val="00C7620A"/>
    <w:rsid w:val="00C7716C"/>
    <w:rsid w:val="00C77B42"/>
    <w:rsid w:val="00C77BB3"/>
    <w:rsid w:val="00C804C5"/>
    <w:rsid w:val="00C80ABD"/>
    <w:rsid w:val="00C80D40"/>
    <w:rsid w:val="00C8199F"/>
    <w:rsid w:val="00C81B1A"/>
    <w:rsid w:val="00C822B5"/>
    <w:rsid w:val="00C825DC"/>
    <w:rsid w:val="00C82D15"/>
    <w:rsid w:val="00C83408"/>
    <w:rsid w:val="00C83EC9"/>
    <w:rsid w:val="00C83FAD"/>
    <w:rsid w:val="00C8444B"/>
    <w:rsid w:val="00C8482B"/>
    <w:rsid w:val="00C84AC1"/>
    <w:rsid w:val="00C84B0D"/>
    <w:rsid w:val="00C8616A"/>
    <w:rsid w:val="00C86535"/>
    <w:rsid w:val="00C86A8C"/>
    <w:rsid w:val="00C86D05"/>
    <w:rsid w:val="00C875C4"/>
    <w:rsid w:val="00C90C5F"/>
    <w:rsid w:val="00C9101F"/>
    <w:rsid w:val="00C91E57"/>
    <w:rsid w:val="00C91F28"/>
    <w:rsid w:val="00C92513"/>
    <w:rsid w:val="00C92571"/>
    <w:rsid w:val="00C93170"/>
    <w:rsid w:val="00C93A1F"/>
    <w:rsid w:val="00C93BD8"/>
    <w:rsid w:val="00C93EA8"/>
    <w:rsid w:val="00C945CB"/>
    <w:rsid w:val="00C94707"/>
    <w:rsid w:val="00C94BD9"/>
    <w:rsid w:val="00C9501F"/>
    <w:rsid w:val="00C9574C"/>
    <w:rsid w:val="00C96013"/>
    <w:rsid w:val="00C96232"/>
    <w:rsid w:val="00C9643A"/>
    <w:rsid w:val="00C964B2"/>
    <w:rsid w:val="00C96F0B"/>
    <w:rsid w:val="00C9730C"/>
    <w:rsid w:val="00CA03CC"/>
    <w:rsid w:val="00CA056B"/>
    <w:rsid w:val="00CA05E6"/>
    <w:rsid w:val="00CA0C01"/>
    <w:rsid w:val="00CA2018"/>
    <w:rsid w:val="00CA2268"/>
    <w:rsid w:val="00CA2BB3"/>
    <w:rsid w:val="00CA397A"/>
    <w:rsid w:val="00CA3D6C"/>
    <w:rsid w:val="00CA3EB9"/>
    <w:rsid w:val="00CA497E"/>
    <w:rsid w:val="00CA4A55"/>
    <w:rsid w:val="00CA6B8C"/>
    <w:rsid w:val="00CA79B9"/>
    <w:rsid w:val="00CB0B8A"/>
    <w:rsid w:val="00CB1476"/>
    <w:rsid w:val="00CB19CC"/>
    <w:rsid w:val="00CB1BC3"/>
    <w:rsid w:val="00CB1E72"/>
    <w:rsid w:val="00CB2095"/>
    <w:rsid w:val="00CB2443"/>
    <w:rsid w:val="00CB244E"/>
    <w:rsid w:val="00CB25D3"/>
    <w:rsid w:val="00CB2C31"/>
    <w:rsid w:val="00CB3807"/>
    <w:rsid w:val="00CB39E6"/>
    <w:rsid w:val="00CB3C22"/>
    <w:rsid w:val="00CB445A"/>
    <w:rsid w:val="00CB4B6A"/>
    <w:rsid w:val="00CB546E"/>
    <w:rsid w:val="00CB5D25"/>
    <w:rsid w:val="00CB5D5B"/>
    <w:rsid w:val="00CB622C"/>
    <w:rsid w:val="00CB6D9B"/>
    <w:rsid w:val="00CB6FDB"/>
    <w:rsid w:val="00CB79A7"/>
    <w:rsid w:val="00CB7CCA"/>
    <w:rsid w:val="00CC02DC"/>
    <w:rsid w:val="00CC0673"/>
    <w:rsid w:val="00CC13FD"/>
    <w:rsid w:val="00CC14B9"/>
    <w:rsid w:val="00CC18C0"/>
    <w:rsid w:val="00CC19CD"/>
    <w:rsid w:val="00CC2008"/>
    <w:rsid w:val="00CC223B"/>
    <w:rsid w:val="00CC26EA"/>
    <w:rsid w:val="00CC3525"/>
    <w:rsid w:val="00CC35AF"/>
    <w:rsid w:val="00CC3C93"/>
    <w:rsid w:val="00CC3E41"/>
    <w:rsid w:val="00CC4639"/>
    <w:rsid w:val="00CC5038"/>
    <w:rsid w:val="00CC6713"/>
    <w:rsid w:val="00CC6AD9"/>
    <w:rsid w:val="00CC7374"/>
    <w:rsid w:val="00CC7A14"/>
    <w:rsid w:val="00CD025E"/>
    <w:rsid w:val="00CD0784"/>
    <w:rsid w:val="00CD0F70"/>
    <w:rsid w:val="00CD13AB"/>
    <w:rsid w:val="00CD32CB"/>
    <w:rsid w:val="00CD380D"/>
    <w:rsid w:val="00CD5127"/>
    <w:rsid w:val="00CD5B25"/>
    <w:rsid w:val="00CD5D69"/>
    <w:rsid w:val="00CD5E37"/>
    <w:rsid w:val="00CD6EC7"/>
    <w:rsid w:val="00CD6F6C"/>
    <w:rsid w:val="00CD7494"/>
    <w:rsid w:val="00CD7B79"/>
    <w:rsid w:val="00CE0856"/>
    <w:rsid w:val="00CE16AE"/>
    <w:rsid w:val="00CE1993"/>
    <w:rsid w:val="00CE1B87"/>
    <w:rsid w:val="00CE1D6E"/>
    <w:rsid w:val="00CE2B3C"/>
    <w:rsid w:val="00CE31D9"/>
    <w:rsid w:val="00CE3306"/>
    <w:rsid w:val="00CE331C"/>
    <w:rsid w:val="00CE35CE"/>
    <w:rsid w:val="00CE3CA4"/>
    <w:rsid w:val="00CE5272"/>
    <w:rsid w:val="00CE6261"/>
    <w:rsid w:val="00CE6CEC"/>
    <w:rsid w:val="00CE6D8F"/>
    <w:rsid w:val="00CE7863"/>
    <w:rsid w:val="00CE7B95"/>
    <w:rsid w:val="00CF194B"/>
    <w:rsid w:val="00CF2616"/>
    <w:rsid w:val="00CF2AEB"/>
    <w:rsid w:val="00CF4011"/>
    <w:rsid w:val="00CF4651"/>
    <w:rsid w:val="00CF49F7"/>
    <w:rsid w:val="00CF4C5D"/>
    <w:rsid w:val="00CF4FDC"/>
    <w:rsid w:val="00CF5D23"/>
    <w:rsid w:val="00CF625C"/>
    <w:rsid w:val="00CF7100"/>
    <w:rsid w:val="00CF7476"/>
    <w:rsid w:val="00CF770F"/>
    <w:rsid w:val="00CF7902"/>
    <w:rsid w:val="00CF79BF"/>
    <w:rsid w:val="00D0092C"/>
    <w:rsid w:val="00D00EB0"/>
    <w:rsid w:val="00D020F0"/>
    <w:rsid w:val="00D03181"/>
    <w:rsid w:val="00D03397"/>
    <w:rsid w:val="00D042AC"/>
    <w:rsid w:val="00D0441B"/>
    <w:rsid w:val="00D0675C"/>
    <w:rsid w:val="00D06974"/>
    <w:rsid w:val="00D06A3F"/>
    <w:rsid w:val="00D06CEF"/>
    <w:rsid w:val="00D06D90"/>
    <w:rsid w:val="00D0759B"/>
    <w:rsid w:val="00D07628"/>
    <w:rsid w:val="00D07F12"/>
    <w:rsid w:val="00D101AA"/>
    <w:rsid w:val="00D106A4"/>
    <w:rsid w:val="00D1092D"/>
    <w:rsid w:val="00D10A4D"/>
    <w:rsid w:val="00D11693"/>
    <w:rsid w:val="00D11ABD"/>
    <w:rsid w:val="00D11B58"/>
    <w:rsid w:val="00D11E1F"/>
    <w:rsid w:val="00D124CA"/>
    <w:rsid w:val="00D12903"/>
    <w:rsid w:val="00D12D81"/>
    <w:rsid w:val="00D13271"/>
    <w:rsid w:val="00D135E2"/>
    <w:rsid w:val="00D13A22"/>
    <w:rsid w:val="00D1420C"/>
    <w:rsid w:val="00D14486"/>
    <w:rsid w:val="00D14C5F"/>
    <w:rsid w:val="00D14CF9"/>
    <w:rsid w:val="00D15233"/>
    <w:rsid w:val="00D15E88"/>
    <w:rsid w:val="00D16735"/>
    <w:rsid w:val="00D16EE2"/>
    <w:rsid w:val="00D17254"/>
    <w:rsid w:val="00D17345"/>
    <w:rsid w:val="00D20527"/>
    <w:rsid w:val="00D20DC6"/>
    <w:rsid w:val="00D21CDC"/>
    <w:rsid w:val="00D21E1C"/>
    <w:rsid w:val="00D2252D"/>
    <w:rsid w:val="00D227BC"/>
    <w:rsid w:val="00D22A2D"/>
    <w:rsid w:val="00D22E66"/>
    <w:rsid w:val="00D24488"/>
    <w:rsid w:val="00D245D3"/>
    <w:rsid w:val="00D24C05"/>
    <w:rsid w:val="00D25A58"/>
    <w:rsid w:val="00D25D3D"/>
    <w:rsid w:val="00D263EB"/>
    <w:rsid w:val="00D26543"/>
    <w:rsid w:val="00D26AD2"/>
    <w:rsid w:val="00D26F69"/>
    <w:rsid w:val="00D27387"/>
    <w:rsid w:val="00D27B07"/>
    <w:rsid w:val="00D27D39"/>
    <w:rsid w:val="00D3040B"/>
    <w:rsid w:val="00D314A0"/>
    <w:rsid w:val="00D31B6A"/>
    <w:rsid w:val="00D31D5A"/>
    <w:rsid w:val="00D3260B"/>
    <w:rsid w:val="00D327EF"/>
    <w:rsid w:val="00D33723"/>
    <w:rsid w:val="00D34BBD"/>
    <w:rsid w:val="00D3517C"/>
    <w:rsid w:val="00D358BB"/>
    <w:rsid w:val="00D363C7"/>
    <w:rsid w:val="00D37FB9"/>
    <w:rsid w:val="00D414B4"/>
    <w:rsid w:val="00D421C0"/>
    <w:rsid w:val="00D421ED"/>
    <w:rsid w:val="00D429F9"/>
    <w:rsid w:val="00D43093"/>
    <w:rsid w:val="00D4313A"/>
    <w:rsid w:val="00D43158"/>
    <w:rsid w:val="00D4449C"/>
    <w:rsid w:val="00D44DEB"/>
    <w:rsid w:val="00D457D6"/>
    <w:rsid w:val="00D457F7"/>
    <w:rsid w:val="00D46F88"/>
    <w:rsid w:val="00D47922"/>
    <w:rsid w:val="00D47A76"/>
    <w:rsid w:val="00D502A8"/>
    <w:rsid w:val="00D50810"/>
    <w:rsid w:val="00D50B64"/>
    <w:rsid w:val="00D50D19"/>
    <w:rsid w:val="00D512DF"/>
    <w:rsid w:val="00D51699"/>
    <w:rsid w:val="00D51725"/>
    <w:rsid w:val="00D51A04"/>
    <w:rsid w:val="00D51B9F"/>
    <w:rsid w:val="00D52436"/>
    <w:rsid w:val="00D524BF"/>
    <w:rsid w:val="00D53145"/>
    <w:rsid w:val="00D54CC4"/>
    <w:rsid w:val="00D55106"/>
    <w:rsid w:val="00D56291"/>
    <w:rsid w:val="00D5629F"/>
    <w:rsid w:val="00D5643E"/>
    <w:rsid w:val="00D57B00"/>
    <w:rsid w:val="00D60288"/>
    <w:rsid w:val="00D60861"/>
    <w:rsid w:val="00D61600"/>
    <w:rsid w:val="00D61BC9"/>
    <w:rsid w:val="00D6208D"/>
    <w:rsid w:val="00D6263A"/>
    <w:rsid w:val="00D6314D"/>
    <w:rsid w:val="00D633E5"/>
    <w:rsid w:val="00D63AD8"/>
    <w:rsid w:val="00D63D54"/>
    <w:rsid w:val="00D645EC"/>
    <w:rsid w:val="00D64615"/>
    <w:rsid w:val="00D646B8"/>
    <w:rsid w:val="00D64A45"/>
    <w:rsid w:val="00D64AD5"/>
    <w:rsid w:val="00D65579"/>
    <w:rsid w:val="00D65B86"/>
    <w:rsid w:val="00D65CC4"/>
    <w:rsid w:val="00D65D51"/>
    <w:rsid w:val="00D66199"/>
    <w:rsid w:val="00D6678A"/>
    <w:rsid w:val="00D66EA0"/>
    <w:rsid w:val="00D67386"/>
    <w:rsid w:val="00D6755E"/>
    <w:rsid w:val="00D70718"/>
    <w:rsid w:val="00D7128E"/>
    <w:rsid w:val="00D718D4"/>
    <w:rsid w:val="00D72097"/>
    <w:rsid w:val="00D7267F"/>
    <w:rsid w:val="00D72A65"/>
    <w:rsid w:val="00D72BA2"/>
    <w:rsid w:val="00D72D0B"/>
    <w:rsid w:val="00D72E29"/>
    <w:rsid w:val="00D73B1E"/>
    <w:rsid w:val="00D73C7F"/>
    <w:rsid w:val="00D7447A"/>
    <w:rsid w:val="00D74C09"/>
    <w:rsid w:val="00D75326"/>
    <w:rsid w:val="00D7592B"/>
    <w:rsid w:val="00D75BAC"/>
    <w:rsid w:val="00D7640B"/>
    <w:rsid w:val="00D7699C"/>
    <w:rsid w:val="00D76FE4"/>
    <w:rsid w:val="00D776E6"/>
    <w:rsid w:val="00D77DCB"/>
    <w:rsid w:val="00D77FF5"/>
    <w:rsid w:val="00D8017E"/>
    <w:rsid w:val="00D803DB"/>
    <w:rsid w:val="00D80AE2"/>
    <w:rsid w:val="00D80B49"/>
    <w:rsid w:val="00D816D1"/>
    <w:rsid w:val="00D81935"/>
    <w:rsid w:val="00D81E1D"/>
    <w:rsid w:val="00D821C9"/>
    <w:rsid w:val="00D82B45"/>
    <w:rsid w:val="00D83398"/>
    <w:rsid w:val="00D8354E"/>
    <w:rsid w:val="00D83600"/>
    <w:rsid w:val="00D8361F"/>
    <w:rsid w:val="00D83D84"/>
    <w:rsid w:val="00D843BC"/>
    <w:rsid w:val="00D85168"/>
    <w:rsid w:val="00D86880"/>
    <w:rsid w:val="00D86C83"/>
    <w:rsid w:val="00D87105"/>
    <w:rsid w:val="00D90AB1"/>
    <w:rsid w:val="00D91977"/>
    <w:rsid w:val="00D91E0B"/>
    <w:rsid w:val="00D91F7E"/>
    <w:rsid w:val="00D923B3"/>
    <w:rsid w:val="00D92B19"/>
    <w:rsid w:val="00D93A8B"/>
    <w:rsid w:val="00D93F97"/>
    <w:rsid w:val="00D9431B"/>
    <w:rsid w:val="00D944EF"/>
    <w:rsid w:val="00D955B0"/>
    <w:rsid w:val="00D9577E"/>
    <w:rsid w:val="00D95D6C"/>
    <w:rsid w:val="00D96007"/>
    <w:rsid w:val="00D9649F"/>
    <w:rsid w:val="00D965EA"/>
    <w:rsid w:val="00D96896"/>
    <w:rsid w:val="00D972E5"/>
    <w:rsid w:val="00D978DB"/>
    <w:rsid w:val="00D97C51"/>
    <w:rsid w:val="00D97CCE"/>
    <w:rsid w:val="00DA023B"/>
    <w:rsid w:val="00DA0638"/>
    <w:rsid w:val="00DA21BB"/>
    <w:rsid w:val="00DA2C2C"/>
    <w:rsid w:val="00DA2FB6"/>
    <w:rsid w:val="00DA32AD"/>
    <w:rsid w:val="00DA331B"/>
    <w:rsid w:val="00DA3C15"/>
    <w:rsid w:val="00DA493E"/>
    <w:rsid w:val="00DA4956"/>
    <w:rsid w:val="00DA708E"/>
    <w:rsid w:val="00DA749E"/>
    <w:rsid w:val="00DA75EC"/>
    <w:rsid w:val="00DA7C31"/>
    <w:rsid w:val="00DB080B"/>
    <w:rsid w:val="00DB0C5A"/>
    <w:rsid w:val="00DB0E75"/>
    <w:rsid w:val="00DB0F1B"/>
    <w:rsid w:val="00DB11B3"/>
    <w:rsid w:val="00DB1421"/>
    <w:rsid w:val="00DB16C6"/>
    <w:rsid w:val="00DB1A5F"/>
    <w:rsid w:val="00DB206F"/>
    <w:rsid w:val="00DB29C6"/>
    <w:rsid w:val="00DB38CE"/>
    <w:rsid w:val="00DB5BE3"/>
    <w:rsid w:val="00DB66FD"/>
    <w:rsid w:val="00DB67C3"/>
    <w:rsid w:val="00DB6A21"/>
    <w:rsid w:val="00DC00F7"/>
    <w:rsid w:val="00DC031E"/>
    <w:rsid w:val="00DC0692"/>
    <w:rsid w:val="00DC10BD"/>
    <w:rsid w:val="00DC2051"/>
    <w:rsid w:val="00DC2A48"/>
    <w:rsid w:val="00DC31E1"/>
    <w:rsid w:val="00DC441D"/>
    <w:rsid w:val="00DC46E8"/>
    <w:rsid w:val="00DC47D6"/>
    <w:rsid w:val="00DC4E31"/>
    <w:rsid w:val="00DC511B"/>
    <w:rsid w:val="00DC52AB"/>
    <w:rsid w:val="00DC53B5"/>
    <w:rsid w:val="00DC546C"/>
    <w:rsid w:val="00DC5587"/>
    <w:rsid w:val="00DC5BA0"/>
    <w:rsid w:val="00DC6174"/>
    <w:rsid w:val="00DC61F9"/>
    <w:rsid w:val="00DC677D"/>
    <w:rsid w:val="00DC6A55"/>
    <w:rsid w:val="00DC6E19"/>
    <w:rsid w:val="00DC780A"/>
    <w:rsid w:val="00DD1633"/>
    <w:rsid w:val="00DD1873"/>
    <w:rsid w:val="00DD194B"/>
    <w:rsid w:val="00DD1D29"/>
    <w:rsid w:val="00DD204A"/>
    <w:rsid w:val="00DD20EE"/>
    <w:rsid w:val="00DD271C"/>
    <w:rsid w:val="00DD2EDF"/>
    <w:rsid w:val="00DD3096"/>
    <w:rsid w:val="00DD39A3"/>
    <w:rsid w:val="00DD3A3B"/>
    <w:rsid w:val="00DD3B92"/>
    <w:rsid w:val="00DD613E"/>
    <w:rsid w:val="00DD7BE8"/>
    <w:rsid w:val="00DE0096"/>
    <w:rsid w:val="00DE10BB"/>
    <w:rsid w:val="00DE14D3"/>
    <w:rsid w:val="00DE1B02"/>
    <w:rsid w:val="00DE22F5"/>
    <w:rsid w:val="00DE3018"/>
    <w:rsid w:val="00DE3E2D"/>
    <w:rsid w:val="00DE4DE3"/>
    <w:rsid w:val="00DE57D2"/>
    <w:rsid w:val="00DE5B53"/>
    <w:rsid w:val="00DE68BA"/>
    <w:rsid w:val="00DE6FD2"/>
    <w:rsid w:val="00DE77A3"/>
    <w:rsid w:val="00DE7D9C"/>
    <w:rsid w:val="00DF0373"/>
    <w:rsid w:val="00DF0A66"/>
    <w:rsid w:val="00DF0D93"/>
    <w:rsid w:val="00DF1B49"/>
    <w:rsid w:val="00DF20A8"/>
    <w:rsid w:val="00DF220D"/>
    <w:rsid w:val="00DF2443"/>
    <w:rsid w:val="00DF2563"/>
    <w:rsid w:val="00DF2C75"/>
    <w:rsid w:val="00DF3063"/>
    <w:rsid w:val="00DF37A2"/>
    <w:rsid w:val="00DF398A"/>
    <w:rsid w:val="00DF50D2"/>
    <w:rsid w:val="00DF55C8"/>
    <w:rsid w:val="00DF5A4E"/>
    <w:rsid w:val="00DF5CED"/>
    <w:rsid w:val="00DF72C2"/>
    <w:rsid w:val="00DF7543"/>
    <w:rsid w:val="00DF7F36"/>
    <w:rsid w:val="00E00926"/>
    <w:rsid w:val="00E0191C"/>
    <w:rsid w:val="00E01BE1"/>
    <w:rsid w:val="00E01F36"/>
    <w:rsid w:val="00E02D0A"/>
    <w:rsid w:val="00E03025"/>
    <w:rsid w:val="00E0364B"/>
    <w:rsid w:val="00E048B9"/>
    <w:rsid w:val="00E04B83"/>
    <w:rsid w:val="00E058AE"/>
    <w:rsid w:val="00E06528"/>
    <w:rsid w:val="00E065CB"/>
    <w:rsid w:val="00E067AE"/>
    <w:rsid w:val="00E067BC"/>
    <w:rsid w:val="00E076B1"/>
    <w:rsid w:val="00E07771"/>
    <w:rsid w:val="00E077A6"/>
    <w:rsid w:val="00E11859"/>
    <w:rsid w:val="00E125A9"/>
    <w:rsid w:val="00E13A8F"/>
    <w:rsid w:val="00E144BE"/>
    <w:rsid w:val="00E14940"/>
    <w:rsid w:val="00E15075"/>
    <w:rsid w:val="00E15AA0"/>
    <w:rsid w:val="00E165D4"/>
    <w:rsid w:val="00E16F81"/>
    <w:rsid w:val="00E1705F"/>
    <w:rsid w:val="00E17198"/>
    <w:rsid w:val="00E171B1"/>
    <w:rsid w:val="00E17276"/>
    <w:rsid w:val="00E17361"/>
    <w:rsid w:val="00E174E2"/>
    <w:rsid w:val="00E17F5D"/>
    <w:rsid w:val="00E207EE"/>
    <w:rsid w:val="00E20BB9"/>
    <w:rsid w:val="00E20C31"/>
    <w:rsid w:val="00E20D25"/>
    <w:rsid w:val="00E2125A"/>
    <w:rsid w:val="00E214C5"/>
    <w:rsid w:val="00E21744"/>
    <w:rsid w:val="00E2219A"/>
    <w:rsid w:val="00E2251F"/>
    <w:rsid w:val="00E2258F"/>
    <w:rsid w:val="00E229C5"/>
    <w:rsid w:val="00E259D0"/>
    <w:rsid w:val="00E275C9"/>
    <w:rsid w:val="00E30477"/>
    <w:rsid w:val="00E30603"/>
    <w:rsid w:val="00E3152A"/>
    <w:rsid w:val="00E31847"/>
    <w:rsid w:val="00E31FDF"/>
    <w:rsid w:val="00E326AD"/>
    <w:rsid w:val="00E32C42"/>
    <w:rsid w:val="00E33139"/>
    <w:rsid w:val="00E3324A"/>
    <w:rsid w:val="00E333AB"/>
    <w:rsid w:val="00E33411"/>
    <w:rsid w:val="00E33C28"/>
    <w:rsid w:val="00E34E75"/>
    <w:rsid w:val="00E3504B"/>
    <w:rsid w:val="00E3556F"/>
    <w:rsid w:val="00E355A0"/>
    <w:rsid w:val="00E35F8A"/>
    <w:rsid w:val="00E35FCC"/>
    <w:rsid w:val="00E369CA"/>
    <w:rsid w:val="00E36A4B"/>
    <w:rsid w:val="00E36CCD"/>
    <w:rsid w:val="00E3715D"/>
    <w:rsid w:val="00E37797"/>
    <w:rsid w:val="00E3791C"/>
    <w:rsid w:val="00E402D2"/>
    <w:rsid w:val="00E4038D"/>
    <w:rsid w:val="00E40A35"/>
    <w:rsid w:val="00E40E43"/>
    <w:rsid w:val="00E426C8"/>
    <w:rsid w:val="00E42F04"/>
    <w:rsid w:val="00E43333"/>
    <w:rsid w:val="00E43995"/>
    <w:rsid w:val="00E447E6"/>
    <w:rsid w:val="00E447EB"/>
    <w:rsid w:val="00E448EA"/>
    <w:rsid w:val="00E44D18"/>
    <w:rsid w:val="00E45072"/>
    <w:rsid w:val="00E45BAD"/>
    <w:rsid w:val="00E45F86"/>
    <w:rsid w:val="00E45FC6"/>
    <w:rsid w:val="00E47339"/>
    <w:rsid w:val="00E474BD"/>
    <w:rsid w:val="00E476C2"/>
    <w:rsid w:val="00E47CF2"/>
    <w:rsid w:val="00E5008A"/>
    <w:rsid w:val="00E501B9"/>
    <w:rsid w:val="00E50903"/>
    <w:rsid w:val="00E50D9A"/>
    <w:rsid w:val="00E50F28"/>
    <w:rsid w:val="00E51365"/>
    <w:rsid w:val="00E517F9"/>
    <w:rsid w:val="00E51A3C"/>
    <w:rsid w:val="00E51FFC"/>
    <w:rsid w:val="00E522CE"/>
    <w:rsid w:val="00E530DD"/>
    <w:rsid w:val="00E53481"/>
    <w:rsid w:val="00E537BD"/>
    <w:rsid w:val="00E541A5"/>
    <w:rsid w:val="00E54497"/>
    <w:rsid w:val="00E54D9A"/>
    <w:rsid w:val="00E5530D"/>
    <w:rsid w:val="00E56964"/>
    <w:rsid w:val="00E56F09"/>
    <w:rsid w:val="00E56FE3"/>
    <w:rsid w:val="00E572F3"/>
    <w:rsid w:val="00E57699"/>
    <w:rsid w:val="00E57966"/>
    <w:rsid w:val="00E60984"/>
    <w:rsid w:val="00E60C12"/>
    <w:rsid w:val="00E613E1"/>
    <w:rsid w:val="00E62683"/>
    <w:rsid w:val="00E62A47"/>
    <w:rsid w:val="00E62C66"/>
    <w:rsid w:val="00E6348B"/>
    <w:rsid w:val="00E637FD"/>
    <w:rsid w:val="00E63B28"/>
    <w:rsid w:val="00E646C2"/>
    <w:rsid w:val="00E6494B"/>
    <w:rsid w:val="00E6495A"/>
    <w:rsid w:val="00E65712"/>
    <w:rsid w:val="00E65A51"/>
    <w:rsid w:val="00E661F3"/>
    <w:rsid w:val="00E663D5"/>
    <w:rsid w:val="00E66F29"/>
    <w:rsid w:val="00E66F44"/>
    <w:rsid w:val="00E6764C"/>
    <w:rsid w:val="00E70100"/>
    <w:rsid w:val="00E70BE4"/>
    <w:rsid w:val="00E70C36"/>
    <w:rsid w:val="00E71BAC"/>
    <w:rsid w:val="00E71FB1"/>
    <w:rsid w:val="00E73383"/>
    <w:rsid w:val="00E74314"/>
    <w:rsid w:val="00E7493E"/>
    <w:rsid w:val="00E74BAC"/>
    <w:rsid w:val="00E75109"/>
    <w:rsid w:val="00E75215"/>
    <w:rsid w:val="00E75480"/>
    <w:rsid w:val="00E755A5"/>
    <w:rsid w:val="00E75A8A"/>
    <w:rsid w:val="00E75F4B"/>
    <w:rsid w:val="00E76FC2"/>
    <w:rsid w:val="00E77703"/>
    <w:rsid w:val="00E800D2"/>
    <w:rsid w:val="00E8024B"/>
    <w:rsid w:val="00E8075A"/>
    <w:rsid w:val="00E80980"/>
    <w:rsid w:val="00E8099A"/>
    <w:rsid w:val="00E80F19"/>
    <w:rsid w:val="00E833E9"/>
    <w:rsid w:val="00E83B28"/>
    <w:rsid w:val="00E83CE4"/>
    <w:rsid w:val="00E85269"/>
    <w:rsid w:val="00E8639E"/>
    <w:rsid w:val="00E86433"/>
    <w:rsid w:val="00E868EB"/>
    <w:rsid w:val="00E86A72"/>
    <w:rsid w:val="00E86B49"/>
    <w:rsid w:val="00E87AA5"/>
    <w:rsid w:val="00E87E7A"/>
    <w:rsid w:val="00E9018B"/>
    <w:rsid w:val="00E9085E"/>
    <w:rsid w:val="00E90B82"/>
    <w:rsid w:val="00E916DC"/>
    <w:rsid w:val="00E91C15"/>
    <w:rsid w:val="00E92385"/>
    <w:rsid w:val="00E92546"/>
    <w:rsid w:val="00E930A8"/>
    <w:rsid w:val="00E94115"/>
    <w:rsid w:val="00E9433F"/>
    <w:rsid w:val="00E94D26"/>
    <w:rsid w:val="00E955BF"/>
    <w:rsid w:val="00E95743"/>
    <w:rsid w:val="00E97294"/>
    <w:rsid w:val="00EA0326"/>
    <w:rsid w:val="00EA086D"/>
    <w:rsid w:val="00EA1CE7"/>
    <w:rsid w:val="00EA2E0B"/>
    <w:rsid w:val="00EA4092"/>
    <w:rsid w:val="00EA4A41"/>
    <w:rsid w:val="00EA4CB4"/>
    <w:rsid w:val="00EA4E4C"/>
    <w:rsid w:val="00EA619F"/>
    <w:rsid w:val="00EA7CE0"/>
    <w:rsid w:val="00EB02B7"/>
    <w:rsid w:val="00EB04B4"/>
    <w:rsid w:val="00EB05D1"/>
    <w:rsid w:val="00EB18F7"/>
    <w:rsid w:val="00EB2637"/>
    <w:rsid w:val="00EB276C"/>
    <w:rsid w:val="00EB27DF"/>
    <w:rsid w:val="00EB2AA8"/>
    <w:rsid w:val="00EB2B6B"/>
    <w:rsid w:val="00EB3488"/>
    <w:rsid w:val="00EB3B98"/>
    <w:rsid w:val="00EB4029"/>
    <w:rsid w:val="00EB459C"/>
    <w:rsid w:val="00EB4756"/>
    <w:rsid w:val="00EB4BCF"/>
    <w:rsid w:val="00EB53E0"/>
    <w:rsid w:val="00EB5FF4"/>
    <w:rsid w:val="00EB60E2"/>
    <w:rsid w:val="00EB6789"/>
    <w:rsid w:val="00EB6AAF"/>
    <w:rsid w:val="00EB79C0"/>
    <w:rsid w:val="00EB7CF7"/>
    <w:rsid w:val="00EC00AC"/>
    <w:rsid w:val="00EC05E0"/>
    <w:rsid w:val="00EC06E9"/>
    <w:rsid w:val="00EC0D94"/>
    <w:rsid w:val="00EC20E3"/>
    <w:rsid w:val="00EC249F"/>
    <w:rsid w:val="00EC2A0E"/>
    <w:rsid w:val="00EC2BC2"/>
    <w:rsid w:val="00EC2BDC"/>
    <w:rsid w:val="00EC2C27"/>
    <w:rsid w:val="00EC2E0A"/>
    <w:rsid w:val="00EC3325"/>
    <w:rsid w:val="00EC3665"/>
    <w:rsid w:val="00EC3FE2"/>
    <w:rsid w:val="00EC497F"/>
    <w:rsid w:val="00EC52AB"/>
    <w:rsid w:val="00EC5343"/>
    <w:rsid w:val="00EC5719"/>
    <w:rsid w:val="00EC699F"/>
    <w:rsid w:val="00EC784D"/>
    <w:rsid w:val="00ED06BB"/>
    <w:rsid w:val="00ED2CFD"/>
    <w:rsid w:val="00ED30D6"/>
    <w:rsid w:val="00ED3393"/>
    <w:rsid w:val="00ED3C59"/>
    <w:rsid w:val="00ED4300"/>
    <w:rsid w:val="00ED4827"/>
    <w:rsid w:val="00ED6AE5"/>
    <w:rsid w:val="00ED6B69"/>
    <w:rsid w:val="00EE0224"/>
    <w:rsid w:val="00EE03B7"/>
    <w:rsid w:val="00EE16A4"/>
    <w:rsid w:val="00EE18EF"/>
    <w:rsid w:val="00EE1948"/>
    <w:rsid w:val="00EE1F7C"/>
    <w:rsid w:val="00EE246F"/>
    <w:rsid w:val="00EE3CD5"/>
    <w:rsid w:val="00EE3E75"/>
    <w:rsid w:val="00EE43A7"/>
    <w:rsid w:val="00EE44BA"/>
    <w:rsid w:val="00EE4DEF"/>
    <w:rsid w:val="00EE53B5"/>
    <w:rsid w:val="00EE5424"/>
    <w:rsid w:val="00EE5F9F"/>
    <w:rsid w:val="00EE6BA2"/>
    <w:rsid w:val="00EE6DBB"/>
    <w:rsid w:val="00EE715A"/>
    <w:rsid w:val="00EE7A75"/>
    <w:rsid w:val="00EF0251"/>
    <w:rsid w:val="00EF0643"/>
    <w:rsid w:val="00EF1C3E"/>
    <w:rsid w:val="00EF1D9D"/>
    <w:rsid w:val="00EF1EA8"/>
    <w:rsid w:val="00EF36F4"/>
    <w:rsid w:val="00EF495F"/>
    <w:rsid w:val="00EF5838"/>
    <w:rsid w:val="00EF58D4"/>
    <w:rsid w:val="00EF5963"/>
    <w:rsid w:val="00EF59D7"/>
    <w:rsid w:val="00EF6472"/>
    <w:rsid w:val="00EF6500"/>
    <w:rsid w:val="00EF743E"/>
    <w:rsid w:val="00EF770E"/>
    <w:rsid w:val="00EF7BFD"/>
    <w:rsid w:val="00EF7C68"/>
    <w:rsid w:val="00EF7E34"/>
    <w:rsid w:val="00F0008B"/>
    <w:rsid w:val="00F00E63"/>
    <w:rsid w:val="00F0273F"/>
    <w:rsid w:val="00F0302E"/>
    <w:rsid w:val="00F037EC"/>
    <w:rsid w:val="00F03AD3"/>
    <w:rsid w:val="00F04656"/>
    <w:rsid w:val="00F04762"/>
    <w:rsid w:val="00F048DA"/>
    <w:rsid w:val="00F05411"/>
    <w:rsid w:val="00F05594"/>
    <w:rsid w:val="00F058A1"/>
    <w:rsid w:val="00F05DD2"/>
    <w:rsid w:val="00F063FD"/>
    <w:rsid w:val="00F069A5"/>
    <w:rsid w:val="00F06C48"/>
    <w:rsid w:val="00F071C4"/>
    <w:rsid w:val="00F07E62"/>
    <w:rsid w:val="00F07EF1"/>
    <w:rsid w:val="00F07F4E"/>
    <w:rsid w:val="00F10BE4"/>
    <w:rsid w:val="00F1142A"/>
    <w:rsid w:val="00F1172A"/>
    <w:rsid w:val="00F1177E"/>
    <w:rsid w:val="00F125C2"/>
    <w:rsid w:val="00F12825"/>
    <w:rsid w:val="00F12B81"/>
    <w:rsid w:val="00F130B1"/>
    <w:rsid w:val="00F13A29"/>
    <w:rsid w:val="00F13B48"/>
    <w:rsid w:val="00F1417F"/>
    <w:rsid w:val="00F143B3"/>
    <w:rsid w:val="00F1449C"/>
    <w:rsid w:val="00F164C6"/>
    <w:rsid w:val="00F16766"/>
    <w:rsid w:val="00F1698E"/>
    <w:rsid w:val="00F16D26"/>
    <w:rsid w:val="00F16E29"/>
    <w:rsid w:val="00F17063"/>
    <w:rsid w:val="00F17E16"/>
    <w:rsid w:val="00F20198"/>
    <w:rsid w:val="00F20DED"/>
    <w:rsid w:val="00F20F20"/>
    <w:rsid w:val="00F24575"/>
    <w:rsid w:val="00F24710"/>
    <w:rsid w:val="00F24C71"/>
    <w:rsid w:val="00F25E0A"/>
    <w:rsid w:val="00F25F98"/>
    <w:rsid w:val="00F269C7"/>
    <w:rsid w:val="00F26A42"/>
    <w:rsid w:val="00F27827"/>
    <w:rsid w:val="00F3031E"/>
    <w:rsid w:val="00F30635"/>
    <w:rsid w:val="00F30C53"/>
    <w:rsid w:val="00F31229"/>
    <w:rsid w:val="00F31906"/>
    <w:rsid w:val="00F31BA7"/>
    <w:rsid w:val="00F31EA8"/>
    <w:rsid w:val="00F325FB"/>
    <w:rsid w:val="00F32F4C"/>
    <w:rsid w:val="00F3311A"/>
    <w:rsid w:val="00F33741"/>
    <w:rsid w:val="00F33DDF"/>
    <w:rsid w:val="00F3544B"/>
    <w:rsid w:val="00F35B34"/>
    <w:rsid w:val="00F35DC0"/>
    <w:rsid w:val="00F3616F"/>
    <w:rsid w:val="00F40100"/>
    <w:rsid w:val="00F40437"/>
    <w:rsid w:val="00F40E1E"/>
    <w:rsid w:val="00F41B8A"/>
    <w:rsid w:val="00F421D4"/>
    <w:rsid w:val="00F42AB2"/>
    <w:rsid w:val="00F42F09"/>
    <w:rsid w:val="00F4325A"/>
    <w:rsid w:val="00F43BFA"/>
    <w:rsid w:val="00F43D13"/>
    <w:rsid w:val="00F43ED7"/>
    <w:rsid w:val="00F449C7"/>
    <w:rsid w:val="00F44B93"/>
    <w:rsid w:val="00F45492"/>
    <w:rsid w:val="00F46085"/>
    <w:rsid w:val="00F46ABB"/>
    <w:rsid w:val="00F46C94"/>
    <w:rsid w:val="00F46D37"/>
    <w:rsid w:val="00F47355"/>
    <w:rsid w:val="00F47AE8"/>
    <w:rsid w:val="00F47DAD"/>
    <w:rsid w:val="00F50D75"/>
    <w:rsid w:val="00F5154D"/>
    <w:rsid w:val="00F51F4B"/>
    <w:rsid w:val="00F525F4"/>
    <w:rsid w:val="00F52996"/>
    <w:rsid w:val="00F53554"/>
    <w:rsid w:val="00F53825"/>
    <w:rsid w:val="00F53C2D"/>
    <w:rsid w:val="00F544DD"/>
    <w:rsid w:val="00F5465F"/>
    <w:rsid w:val="00F557C6"/>
    <w:rsid w:val="00F56813"/>
    <w:rsid w:val="00F5691B"/>
    <w:rsid w:val="00F56B91"/>
    <w:rsid w:val="00F56C37"/>
    <w:rsid w:val="00F56D40"/>
    <w:rsid w:val="00F56E9C"/>
    <w:rsid w:val="00F572DE"/>
    <w:rsid w:val="00F572EC"/>
    <w:rsid w:val="00F5771A"/>
    <w:rsid w:val="00F57A7E"/>
    <w:rsid w:val="00F57ED9"/>
    <w:rsid w:val="00F60670"/>
    <w:rsid w:val="00F606E0"/>
    <w:rsid w:val="00F61334"/>
    <w:rsid w:val="00F617B8"/>
    <w:rsid w:val="00F61867"/>
    <w:rsid w:val="00F62CA8"/>
    <w:rsid w:val="00F62DD8"/>
    <w:rsid w:val="00F62F45"/>
    <w:rsid w:val="00F63113"/>
    <w:rsid w:val="00F649AD"/>
    <w:rsid w:val="00F65456"/>
    <w:rsid w:val="00F6570C"/>
    <w:rsid w:val="00F659D2"/>
    <w:rsid w:val="00F65EF2"/>
    <w:rsid w:val="00F65F7B"/>
    <w:rsid w:val="00F6613B"/>
    <w:rsid w:val="00F6685E"/>
    <w:rsid w:val="00F66A1E"/>
    <w:rsid w:val="00F66C8D"/>
    <w:rsid w:val="00F66EDB"/>
    <w:rsid w:val="00F67395"/>
    <w:rsid w:val="00F67C25"/>
    <w:rsid w:val="00F715C3"/>
    <w:rsid w:val="00F716D2"/>
    <w:rsid w:val="00F71D5A"/>
    <w:rsid w:val="00F722E2"/>
    <w:rsid w:val="00F72B3C"/>
    <w:rsid w:val="00F731DF"/>
    <w:rsid w:val="00F7337F"/>
    <w:rsid w:val="00F734F4"/>
    <w:rsid w:val="00F73C8C"/>
    <w:rsid w:val="00F73D81"/>
    <w:rsid w:val="00F741D3"/>
    <w:rsid w:val="00F74643"/>
    <w:rsid w:val="00F74D2A"/>
    <w:rsid w:val="00F7513F"/>
    <w:rsid w:val="00F75559"/>
    <w:rsid w:val="00F760F7"/>
    <w:rsid w:val="00F76EFC"/>
    <w:rsid w:val="00F77753"/>
    <w:rsid w:val="00F77BA8"/>
    <w:rsid w:val="00F800D7"/>
    <w:rsid w:val="00F8184B"/>
    <w:rsid w:val="00F81B48"/>
    <w:rsid w:val="00F82DB0"/>
    <w:rsid w:val="00F8532A"/>
    <w:rsid w:val="00F854E6"/>
    <w:rsid w:val="00F862E6"/>
    <w:rsid w:val="00F866BF"/>
    <w:rsid w:val="00F869A6"/>
    <w:rsid w:val="00F87508"/>
    <w:rsid w:val="00F87562"/>
    <w:rsid w:val="00F87AB1"/>
    <w:rsid w:val="00F90445"/>
    <w:rsid w:val="00F90773"/>
    <w:rsid w:val="00F90E5C"/>
    <w:rsid w:val="00F912B6"/>
    <w:rsid w:val="00F919F2"/>
    <w:rsid w:val="00F9295F"/>
    <w:rsid w:val="00F92AAB"/>
    <w:rsid w:val="00F93075"/>
    <w:rsid w:val="00F939A7"/>
    <w:rsid w:val="00F94258"/>
    <w:rsid w:val="00F9434F"/>
    <w:rsid w:val="00F94454"/>
    <w:rsid w:val="00F947FC"/>
    <w:rsid w:val="00F94926"/>
    <w:rsid w:val="00F94A63"/>
    <w:rsid w:val="00F94BF6"/>
    <w:rsid w:val="00F95C6D"/>
    <w:rsid w:val="00F9754B"/>
    <w:rsid w:val="00F97561"/>
    <w:rsid w:val="00F97B6A"/>
    <w:rsid w:val="00FA05B4"/>
    <w:rsid w:val="00FA2113"/>
    <w:rsid w:val="00FA2A4A"/>
    <w:rsid w:val="00FA2CC5"/>
    <w:rsid w:val="00FA2D42"/>
    <w:rsid w:val="00FA31E4"/>
    <w:rsid w:val="00FA3CF3"/>
    <w:rsid w:val="00FA40A0"/>
    <w:rsid w:val="00FA537F"/>
    <w:rsid w:val="00FA5730"/>
    <w:rsid w:val="00FA66FD"/>
    <w:rsid w:val="00FA7827"/>
    <w:rsid w:val="00FB0B2B"/>
    <w:rsid w:val="00FB1214"/>
    <w:rsid w:val="00FB128F"/>
    <w:rsid w:val="00FB160F"/>
    <w:rsid w:val="00FB1713"/>
    <w:rsid w:val="00FB1802"/>
    <w:rsid w:val="00FB1DB4"/>
    <w:rsid w:val="00FB2762"/>
    <w:rsid w:val="00FB2790"/>
    <w:rsid w:val="00FB3786"/>
    <w:rsid w:val="00FB38DC"/>
    <w:rsid w:val="00FB3E44"/>
    <w:rsid w:val="00FB3F4F"/>
    <w:rsid w:val="00FB52B3"/>
    <w:rsid w:val="00FB57DC"/>
    <w:rsid w:val="00FB58F6"/>
    <w:rsid w:val="00FB5A9F"/>
    <w:rsid w:val="00FB5C8F"/>
    <w:rsid w:val="00FB5F0E"/>
    <w:rsid w:val="00FB6E2E"/>
    <w:rsid w:val="00FB6F42"/>
    <w:rsid w:val="00FB73DC"/>
    <w:rsid w:val="00FB773A"/>
    <w:rsid w:val="00FC007B"/>
    <w:rsid w:val="00FC2267"/>
    <w:rsid w:val="00FC27E8"/>
    <w:rsid w:val="00FC2DC4"/>
    <w:rsid w:val="00FC3BAD"/>
    <w:rsid w:val="00FC3C38"/>
    <w:rsid w:val="00FC3CD7"/>
    <w:rsid w:val="00FC41F6"/>
    <w:rsid w:val="00FC43EA"/>
    <w:rsid w:val="00FC497D"/>
    <w:rsid w:val="00FC52C5"/>
    <w:rsid w:val="00FC5371"/>
    <w:rsid w:val="00FC61F5"/>
    <w:rsid w:val="00FC6202"/>
    <w:rsid w:val="00FC6D5D"/>
    <w:rsid w:val="00FC76A6"/>
    <w:rsid w:val="00FC7955"/>
    <w:rsid w:val="00FD0894"/>
    <w:rsid w:val="00FD1CFD"/>
    <w:rsid w:val="00FD1D04"/>
    <w:rsid w:val="00FD1D6D"/>
    <w:rsid w:val="00FD1EB5"/>
    <w:rsid w:val="00FD2A01"/>
    <w:rsid w:val="00FD2BD4"/>
    <w:rsid w:val="00FD3983"/>
    <w:rsid w:val="00FD4024"/>
    <w:rsid w:val="00FD442D"/>
    <w:rsid w:val="00FD4A82"/>
    <w:rsid w:val="00FD4B2A"/>
    <w:rsid w:val="00FD5283"/>
    <w:rsid w:val="00FD5E9E"/>
    <w:rsid w:val="00FD5ECF"/>
    <w:rsid w:val="00FD5FEE"/>
    <w:rsid w:val="00FD73FF"/>
    <w:rsid w:val="00FD7CAE"/>
    <w:rsid w:val="00FD7D05"/>
    <w:rsid w:val="00FE01C8"/>
    <w:rsid w:val="00FE02ED"/>
    <w:rsid w:val="00FE0B0D"/>
    <w:rsid w:val="00FE1785"/>
    <w:rsid w:val="00FE243E"/>
    <w:rsid w:val="00FE2F02"/>
    <w:rsid w:val="00FE38D6"/>
    <w:rsid w:val="00FE4929"/>
    <w:rsid w:val="00FE4A84"/>
    <w:rsid w:val="00FE55CD"/>
    <w:rsid w:val="00FE5D57"/>
    <w:rsid w:val="00FE5FD3"/>
    <w:rsid w:val="00FE6480"/>
    <w:rsid w:val="00FE6606"/>
    <w:rsid w:val="00FF0F08"/>
    <w:rsid w:val="00FF1BE3"/>
    <w:rsid w:val="00FF20F2"/>
    <w:rsid w:val="00FF33FA"/>
    <w:rsid w:val="00FF35A7"/>
    <w:rsid w:val="00FF4351"/>
    <w:rsid w:val="00FF44B0"/>
    <w:rsid w:val="00FF4AB0"/>
    <w:rsid w:val="00FF4EDB"/>
    <w:rsid w:val="00FF63B1"/>
    <w:rsid w:val="00FF645F"/>
    <w:rsid w:val="00FF6AA4"/>
    <w:rsid w:val="00FF6AD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90F7"/>
  <w15:docId w15:val="{EB97B632-8075-46DD-B794-87261D3A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B4"/>
    <w:rPr>
      <w:sz w:val="24"/>
      <w:szCs w:val="24"/>
      <w:lang w:eastAsia="en-US"/>
    </w:rPr>
  </w:style>
  <w:style w:type="paragraph" w:styleId="Heading1">
    <w:name w:val="heading 1"/>
    <w:basedOn w:val="Normal"/>
    <w:next w:val="Normal"/>
    <w:link w:val="Heading1Char"/>
    <w:qFormat/>
    <w:rsid w:val="00830C80"/>
    <w:pPr>
      <w:keepNext/>
      <w:jc w:val="both"/>
      <w:outlineLvl w:val="0"/>
    </w:pPr>
    <w:rPr>
      <w:u w:val="single"/>
    </w:rPr>
  </w:style>
  <w:style w:type="paragraph" w:styleId="Heading2">
    <w:name w:val="heading 2"/>
    <w:basedOn w:val="Normal"/>
    <w:next w:val="Normal"/>
    <w:link w:val="Heading2Char"/>
    <w:qFormat/>
    <w:rsid w:val="00830C80"/>
    <w:pPr>
      <w:keepNext/>
      <w:jc w:val="both"/>
      <w:outlineLvl w:val="1"/>
    </w:pPr>
    <w:rPr>
      <w:b/>
      <w:bCs/>
    </w:rPr>
  </w:style>
  <w:style w:type="paragraph" w:styleId="Heading3">
    <w:name w:val="heading 3"/>
    <w:basedOn w:val="Normal"/>
    <w:next w:val="Normal"/>
    <w:link w:val="Heading3Char"/>
    <w:qFormat/>
    <w:rsid w:val="00830C80"/>
    <w:pPr>
      <w:keepNext/>
      <w:jc w:val="center"/>
      <w:outlineLvl w:val="2"/>
    </w:pPr>
    <w:rPr>
      <w:b/>
    </w:rPr>
  </w:style>
  <w:style w:type="paragraph" w:styleId="Heading4">
    <w:name w:val="heading 4"/>
    <w:basedOn w:val="Normal"/>
    <w:next w:val="Normal"/>
    <w:link w:val="Heading4Char"/>
    <w:qFormat/>
    <w:rsid w:val="00830C80"/>
    <w:pPr>
      <w:keepNext/>
      <w:jc w:val="both"/>
      <w:outlineLvl w:val="3"/>
    </w:pPr>
    <w:rPr>
      <w:b/>
      <w:bCs/>
      <w:sz w:val="22"/>
      <w:szCs w:val="20"/>
    </w:rPr>
  </w:style>
  <w:style w:type="paragraph" w:styleId="Heading5">
    <w:name w:val="heading 5"/>
    <w:basedOn w:val="Normal"/>
    <w:next w:val="Normal"/>
    <w:link w:val="Heading5Char"/>
    <w:qFormat/>
    <w:rsid w:val="00830C80"/>
    <w:pPr>
      <w:keepNext/>
      <w:jc w:val="center"/>
      <w:outlineLvl w:val="4"/>
    </w:pPr>
    <w:rPr>
      <w:rFonts w:ascii="Arial" w:hAnsi="Arial" w:cs="Arial"/>
      <w:b/>
      <w:bCs/>
      <w:sz w:val="18"/>
      <w:szCs w:val="20"/>
    </w:rPr>
  </w:style>
  <w:style w:type="paragraph" w:styleId="Heading6">
    <w:name w:val="heading 6"/>
    <w:basedOn w:val="Normal"/>
    <w:next w:val="Normal"/>
    <w:link w:val="Heading6Char"/>
    <w:qFormat/>
    <w:rsid w:val="00830C80"/>
    <w:pPr>
      <w:keepNext/>
      <w:jc w:val="both"/>
      <w:outlineLvl w:val="5"/>
    </w:pPr>
    <w:rPr>
      <w:rFonts w:ascii="Tahoma" w:hAnsi="Tahoma" w:cs="Tahoma"/>
      <w:b/>
      <w:bCs/>
      <w:sz w:val="22"/>
      <w:u w:val="single"/>
    </w:rPr>
  </w:style>
  <w:style w:type="paragraph" w:styleId="Heading7">
    <w:name w:val="heading 7"/>
    <w:basedOn w:val="Normal"/>
    <w:next w:val="Normal"/>
    <w:link w:val="Heading7Char"/>
    <w:qFormat/>
    <w:rsid w:val="00830C80"/>
    <w:pPr>
      <w:keepNext/>
      <w:jc w:val="both"/>
      <w:outlineLvl w:val="6"/>
    </w:pPr>
    <w:rPr>
      <w:rFonts w:ascii="Tahoma" w:hAnsi="Tahoma" w:cs="Tahoma"/>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0C80"/>
    <w:pPr>
      <w:jc w:val="both"/>
    </w:pPr>
  </w:style>
  <w:style w:type="paragraph" w:styleId="Header">
    <w:name w:val="header"/>
    <w:basedOn w:val="Normal"/>
    <w:link w:val="HeaderChar"/>
    <w:rsid w:val="00830C80"/>
    <w:pPr>
      <w:tabs>
        <w:tab w:val="center" w:pos="4536"/>
        <w:tab w:val="right" w:pos="9072"/>
      </w:tabs>
    </w:pPr>
  </w:style>
  <w:style w:type="character" w:styleId="PageNumber">
    <w:name w:val="page number"/>
    <w:basedOn w:val="DefaultParagraphFont"/>
    <w:rsid w:val="00830C80"/>
  </w:style>
  <w:style w:type="paragraph" w:styleId="Footer">
    <w:name w:val="footer"/>
    <w:basedOn w:val="Normal"/>
    <w:link w:val="FooterChar"/>
    <w:rsid w:val="00830C80"/>
    <w:pPr>
      <w:tabs>
        <w:tab w:val="center" w:pos="4536"/>
        <w:tab w:val="right" w:pos="9072"/>
      </w:tabs>
    </w:pPr>
  </w:style>
  <w:style w:type="paragraph" w:styleId="BodyTextIndent2">
    <w:name w:val="Body Text Indent 2"/>
    <w:basedOn w:val="Normal"/>
    <w:link w:val="BodyTextIndent2Char"/>
    <w:rsid w:val="00830C80"/>
    <w:pPr>
      <w:ind w:left="142" w:hanging="142"/>
    </w:pPr>
    <w:rPr>
      <w:szCs w:val="20"/>
    </w:rPr>
  </w:style>
  <w:style w:type="paragraph" w:styleId="BodyText2">
    <w:name w:val="Body Text 2"/>
    <w:basedOn w:val="Normal"/>
    <w:link w:val="BodyText2Char"/>
    <w:rsid w:val="00830C80"/>
    <w:pPr>
      <w:jc w:val="both"/>
    </w:pPr>
    <w:rPr>
      <w:sz w:val="22"/>
      <w:szCs w:val="20"/>
    </w:rPr>
  </w:style>
  <w:style w:type="paragraph" w:styleId="BodyText3">
    <w:name w:val="Body Text 3"/>
    <w:basedOn w:val="Normal"/>
    <w:link w:val="BodyText3Char"/>
    <w:rsid w:val="00830C80"/>
    <w:pPr>
      <w:jc w:val="both"/>
    </w:pPr>
    <w:rPr>
      <w:b/>
      <w:bCs/>
      <w:sz w:val="22"/>
      <w:szCs w:val="20"/>
    </w:rPr>
  </w:style>
  <w:style w:type="paragraph" w:styleId="BalloonText">
    <w:name w:val="Balloon Text"/>
    <w:basedOn w:val="Normal"/>
    <w:link w:val="BalloonTextChar"/>
    <w:semiHidden/>
    <w:rsid w:val="00830C80"/>
    <w:rPr>
      <w:rFonts w:ascii="Tahoma" w:hAnsi="Tahoma" w:cs="Tahoma"/>
      <w:sz w:val="16"/>
      <w:szCs w:val="16"/>
    </w:rPr>
  </w:style>
  <w:style w:type="paragraph" w:styleId="BodyTextIndent">
    <w:name w:val="Body Text Indent"/>
    <w:basedOn w:val="Normal"/>
    <w:link w:val="BodyTextIndentChar"/>
    <w:rsid w:val="009A1E55"/>
    <w:pPr>
      <w:spacing w:after="120"/>
      <w:ind w:left="283"/>
    </w:pPr>
  </w:style>
  <w:style w:type="paragraph" w:customStyle="1" w:styleId="Uvlaka">
    <w:name w:val="Uvlaka"/>
    <w:basedOn w:val="Normal"/>
    <w:rsid w:val="00736117"/>
    <w:pPr>
      <w:widowControl w:val="0"/>
      <w:tabs>
        <w:tab w:val="num" w:pos="720"/>
        <w:tab w:val="left" w:pos="851"/>
      </w:tabs>
      <w:suppressAutoHyphens/>
      <w:ind w:left="-2214"/>
    </w:pPr>
    <w:rPr>
      <w:rFonts w:eastAsia="Arial Unicode MS"/>
      <w:szCs w:val="20"/>
    </w:rPr>
  </w:style>
  <w:style w:type="character" w:customStyle="1" w:styleId="FooterChar">
    <w:name w:val="Footer Char"/>
    <w:basedOn w:val="DefaultParagraphFont"/>
    <w:link w:val="Footer"/>
    <w:locked/>
    <w:rsid w:val="007004E9"/>
    <w:rPr>
      <w:sz w:val="24"/>
      <w:szCs w:val="24"/>
      <w:lang w:val="hr-HR" w:eastAsia="en-US" w:bidi="ar-SA"/>
    </w:rPr>
  </w:style>
  <w:style w:type="paragraph" w:customStyle="1" w:styleId="t-9-8">
    <w:name w:val="t-9-8"/>
    <w:basedOn w:val="Normal"/>
    <w:rsid w:val="00AA4AC4"/>
    <w:pPr>
      <w:spacing w:before="100" w:beforeAutospacing="1" w:after="100" w:afterAutospacing="1"/>
    </w:pPr>
    <w:rPr>
      <w:lang w:eastAsia="hr-HR"/>
    </w:rPr>
  </w:style>
  <w:style w:type="paragraph" w:styleId="ListParagraph">
    <w:name w:val="List Paragraph"/>
    <w:basedOn w:val="Normal"/>
    <w:uiPriority w:val="34"/>
    <w:qFormat/>
    <w:rsid w:val="00DB66FD"/>
    <w:pPr>
      <w:ind w:left="720"/>
      <w:contextualSpacing/>
    </w:pPr>
  </w:style>
  <w:style w:type="paragraph" w:customStyle="1" w:styleId="Glavnitekst">
    <w:name w:val="Glavni tekst"/>
    <w:basedOn w:val="Normal"/>
    <w:link w:val="GlavnitekstChar"/>
    <w:rsid w:val="00A6187D"/>
    <w:pPr>
      <w:spacing w:before="120" w:line="360" w:lineRule="auto"/>
      <w:ind w:firstLine="720"/>
      <w:jc w:val="both"/>
    </w:pPr>
  </w:style>
  <w:style w:type="character" w:customStyle="1" w:styleId="GlavnitekstChar">
    <w:name w:val="Glavni tekst Char"/>
    <w:basedOn w:val="DefaultParagraphFont"/>
    <w:link w:val="Glavnitekst"/>
    <w:rsid w:val="00A6187D"/>
    <w:rPr>
      <w:sz w:val="24"/>
      <w:szCs w:val="24"/>
      <w:lang w:eastAsia="en-US"/>
    </w:rPr>
  </w:style>
  <w:style w:type="paragraph" w:customStyle="1" w:styleId="Body1">
    <w:name w:val="Body 1"/>
    <w:basedOn w:val="Normal"/>
    <w:rsid w:val="00A713B8"/>
    <w:rPr>
      <w:rFonts w:ascii="Helvetica" w:eastAsiaTheme="minorHAnsi" w:hAnsi="Helvetica" w:cs="Helvetica"/>
      <w:color w:val="000000"/>
      <w:sz w:val="22"/>
      <w:szCs w:val="22"/>
      <w:lang w:eastAsia="hr-HR"/>
    </w:rPr>
  </w:style>
  <w:style w:type="paragraph" w:styleId="NoSpacing">
    <w:name w:val="No Spacing"/>
    <w:uiPriority w:val="1"/>
    <w:qFormat/>
    <w:rsid w:val="00A713B8"/>
    <w:rPr>
      <w:rFonts w:ascii="Calibri" w:eastAsiaTheme="minorHAnsi" w:hAnsi="Calibri"/>
      <w:sz w:val="22"/>
      <w:szCs w:val="22"/>
    </w:rPr>
  </w:style>
  <w:style w:type="character" w:customStyle="1" w:styleId="Heading2Char">
    <w:name w:val="Heading 2 Char"/>
    <w:basedOn w:val="DefaultParagraphFont"/>
    <w:link w:val="Heading2"/>
    <w:rsid w:val="00BD711A"/>
    <w:rPr>
      <w:b/>
      <w:bCs/>
      <w:sz w:val="24"/>
      <w:szCs w:val="24"/>
      <w:lang w:eastAsia="en-US"/>
    </w:rPr>
  </w:style>
  <w:style w:type="character" w:customStyle="1" w:styleId="BodyText2Char">
    <w:name w:val="Body Text 2 Char"/>
    <w:basedOn w:val="DefaultParagraphFont"/>
    <w:link w:val="BodyText2"/>
    <w:rsid w:val="00BD711A"/>
    <w:rPr>
      <w:sz w:val="22"/>
      <w:lang w:eastAsia="en-US"/>
    </w:rPr>
  </w:style>
  <w:style w:type="character" w:customStyle="1" w:styleId="BalloonTextChar">
    <w:name w:val="Balloon Text Char"/>
    <w:basedOn w:val="DefaultParagraphFont"/>
    <w:link w:val="BalloonText"/>
    <w:semiHidden/>
    <w:rsid w:val="000B4F90"/>
    <w:rPr>
      <w:rFonts w:ascii="Tahoma" w:hAnsi="Tahoma" w:cs="Tahoma"/>
      <w:sz w:val="16"/>
      <w:szCs w:val="16"/>
      <w:lang w:eastAsia="en-US"/>
    </w:rPr>
  </w:style>
  <w:style w:type="table" w:styleId="TableGrid">
    <w:name w:val="Table Grid"/>
    <w:basedOn w:val="TableNormal"/>
    <w:rsid w:val="00FC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43D13"/>
    <w:rPr>
      <w:rFonts w:ascii="Consolas" w:eastAsia="Calibri" w:hAnsi="Consolas"/>
      <w:sz w:val="21"/>
      <w:szCs w:val="21"/>
    </w:rPr>
  </w:style>
  <w:style w:type="character" w:customStyle="1" w:styleId="PlainTextChar">
    <w:name w:val="Plain Text Char"/>
    <w:basedOn w:val="DefaultParagraphFont"/>
    <w:link w:val="PlainText"/>
    <w:uiPriority w:val="99"/>
    <w:rsid w:val="00F43D13"/>
    <w:rPr>
      <w:rFonts w:ascii="Consolas" w:eastAsia="Calibri" w:hAnsi="Consolas"/>
      <w:sz w:val="21"/>
      <w:szCs w:val="21"/>
      <w:lang w:eastAsia="en-US"/>
    </w:rPr>
  </w:style>
  <w:style w:type="character" w:styleId="Strong">
    <w:name w:val="Strong"/>
    <w:basedOn w:val="DefaultParagraphFont"/>
    <w:uiPriority w:val="22"/>
    <w:qFormat/>
    <w:rsid w:val="00866E4F"/>
    <w:rPr>
      <w:b/>
      <w:bCs/>
    </w:rPr>
  </w:style>
  <w:style w:type="character" w:customStyle="1" w:styleId="Heading3Char">
    <w:name w:val="Heading 3 Char"/>
    <w:basedOn w:val="DefaultParagraphFont"/>
    <w:link w:val="Heading3"/>
    <w:rsid w:val="00C71993"/>
    <w:rPr>
      <w:b/>
      <w:sz w:val="24"/>
      <w:szCs w:val="24"/>
      <w:lang w:eastAsia="en-US"/>
    </w:rPr>
  </w:style>
  <w:style w:type="paragraph" w:customStyle="1" w:styleId="box459263">
    <w:name w:val="box_459263"/>
    <w:basedOn w:val="Normal"/>
    <w:rsid w:val="007B76E1"/>
    <w:pPr>
      <w:spacing w:before="100" w:beforeAutospacing="1" w:after="100" w:afterAutospacing="1"/>
    </w:pPr>
    <w:rPr>
      <w:lang w:eastAsia="hr-HR"/>
    </w:rPr>
  </w:style>
  <w:style w:type="character" w:styleId="CommentReference">
    <w:name w:val="annotation reference"/>
    <w:basedOn w:val="DefaultParagraphFont"/>
    <w:semiHidden/>
    <w:unhideWhenUsed/>
    <w:rsid w:val="00B53E57"/>
    <w:rPr>
      <w:sz w:val="16"/>
      <w:szCs w:val="16"/>
    </w:rPr>
  </w:style>
  <w:style w:type="paragraph" w:styleId="CommentText">
    <w:name w:val="annotation text"/>
    <w:basedOn w:val="Normal"/>
    <w:link w:val="CommentTextChar"/>
    <w:uiPriority w:val="99"/>
    <w:semiHidden/>
    <w:unhideWhenUsed/>
    <w:rsid w:val="00B53E57"/>
    <w:rPr>
      <w:sz w:val="20"/>
      <w:szCs w:val="20"/>
    </w:rPr>
  </w:style>
  <w:style w:type="character" w:customStyle="1" w:styleId="CommentTextChar">
    <w:name w:val="Comment Text Char"/>
    <w:basedOn w:val="DefaultParagraphFont"/>
    <w:link w:val="CommentText"/>
    <w:uiPriority w:val="99"/>
    <w:semiHidden/>
    <w:rsid w:val="00B53E57"/>
    <w:rPr>
      <w:lang w:eastAsia="en-US"/>
    </w:rPr>
  </w:style>
  <w:style w:type="paragraph" w:styleId="CommentSubject">
    <w:name w:val="annotation subject"/>
    <w:basedOn w:val="CommentText"/>
    <w:next w:val="CommentText"/>
    <w:link w:val="CommentSubjectChar"/>
    <w:semiHidden/>
    <w:unhideWhenUsed/>
    <w:rsid w:val="00B53E57"/>
    <w:rPr>
      <w:b/>
      <w:bCs/>
    </w:rPr>
  </w:style>
  <w:style w:type="character" w:customStyle="1" w:styleId="CommentSubjectChar">
    <w:name w:val="Comment Subject Char"/>
    <w:basedOn w:val="CommentTextChar"/>
    <w:link w:val="CommentSubject"/>
    <w:semiHidden/>
    <w:rsid w:val="00B53E57"/>
    <w:rPr>
      <w:b/>
      <w:bCs/>
      <w:lang w:eastAsia="en-US"/>
    </w:rPr>
  </w:style>
  <w:style w:type="paragraph" w:styleId="EndnoteText">
    <w:name w:val="endnote text"/>
    <w:basedOn w:val="Normal"/>
    <w:link w:val="EndnoteTextChar"/>
    <w:semiHidden/>
    <w:unhideWhenUsed/>
    <w:rsid w:val="00DE1B02"/>
    <w:rPr>
      <w:sz w:val="20"/>
      <w:szCs w:val="20"/>
    </w:rPr>
  </w:style>
  <w:style w:type="character" w:customStyle="1" w:styleId="EndnoteTextChar">
    <w:name w:val="Endnote Text Char"/>
    <w:basedOn w:val="DefaultParagraphFont"/>
    <w:link w:val="EndnoteText"/>
    <w:semiHidden/>
    <w:rsid w:val="00DE1B02"/>
    <w:rPr>
      <w:lang w:eastAsia="en-US"/>
    </w:rPr>
  </w:style>
  <w:style w:type="character" w:styleId="EndnoteReference">
    <w:name w:val="endnote reference"/>
    <w:basedOn w:val="DefaultParagraphFont"/>
    <w:semiHidden/>
    <w:unhideWhenUsed/>
    <w:rsid w:val="00DE1B02"/>
    <w:rPr>
      <w:vertAlign w:val="superscript"/>
    </w:rPr>
  </w:style>
  <w:style w:type="character" w:customStyle="1" w:styleId="HeaderChar">
    <w:name w:val="Header Char"/>
    <w:basedOn w:val="DefaultParagraphFont"/>
    <w:link w:val="Header"/>
    <w:rsid w:val="001621B4"/>
    <w:rPr>
      <w:sz w:val="24"/>
      <w:szCs w:val="24"/>
      <w:lang w:eastAsia="en-US"/>
    </w:rPr>
  </w:style>
  <w:style w:type="character" w:customStyle="1" w:styleId="Heading1Char">
    <w:name w:val="Heading 1 Char"/>
    <w:basedOn w:val="DefaultParagraphFont"/>
    <w:link w:val="Heading1"/>
    <w:rsid w:val="001621B4"/>
    <w:rPr>
      <w:sz w:val="24"/>
      <w:szCs w:val="24"/>
      <w:u w:val="single"/>
      <w:lang w:eastAsia="en-US"/>
    </w:rPr>
  </w:style>
  <w:style w:type="character" w:customStyle="1" w:styleId="Heading4Char">
    <w:name w:val="Heading 4 Char"/>
    <w:basedOn w:val="DefaultParagraphFont"/>
    <w:link w:val="Heading4"/>
    <w:rsid w:val="001621B4"/>
    <w:rPr>
      <w:b/>
      <w:bCs/>
      <w:sz w:val="22"/>
      <w:lang w:eastAsia="en-US"/>
    </w:rPr>
  </w:style>
  <w:style w:type="character" w:customStyle="1" w:styleId="Heading5Char">
    <w:name w:val="Heading 5 Char"/>
    <w:basedOn w:val="DefaultParagraphFont"/>
    <w:link w:val="Heading5"/>
    <w:rsid w:val="001621B4"/>
    <w:rPr>
      <w:rFonts w:ascii="Arial" w:hAnsi="Arial" w:cs="Arial"/>
      <w:b/>
      <w:bCs/>
      <w:sz w:val="18"/>
      <w:lang w:eastAsia="en-US"/>
    </w:rPr>
  </w:style>
  <w:style w:type="character" w:customStyle="1" w:styleId="Heading6Char">
    <w:name w:val="Heading 6 Char"/>
    <w:basedOn w:val="DefaultParagraphFont"/>
    <w:link w:val="Heading6"/>
    <w:rsid w:val="001621B4"/>
    <w:rPr>
      <w:rFonts w:ascii="Tahoma" w:hAnsi="Tahoma" w:cs="Tahoma"/>
      <w:b/>
      <w:bCs/>
      <w:sz w:val="22"/>
      <w:szCs w:val="24"/>
      <w:u w:val="single"/>
      <w:lang w:eastAsia="en-US"/>
    </w:rPr>
  </w:style>
  <w:style w:type="character" w:customStyle="1" w:styleId="Heading7Char">
    <w:name w:val="Heading 7 Char"/>
    <w:basedOn w:val="DefaultParagraphFont"/>
    <w:link w:val="Heading7"/>
    <w:rsid w:val="001621B4"/>
    <w:rPr>
      <w:rFonts w:ascii="Tahoma" w:hAnsi="Tahoma" w:cs="Tahoma"/>
      <w:sz w:val="22"/>
      <w:szCs w:val="24"/>
      <w:u w:val="single"/>
      <w:lang w:eastAsia="en-US"/>
    </w:rPr>
  </w:style>
  <w:style w:type="character" w:customStyle="1" w:styleId="BodyTextChar">
    <w:name w:val="Body Text Char"/>
    <w:basedOn w:val="DefaultParagraphFont"/>
    <w:link w:val="BodyText"/>
    <w:rsid w:val="001621B4"/>
    <w:rPr>
      <w:sz w:val="24"/>
      <w:szCs w:val="24"/>
      <w:lang w:eastAsia="en-US"/>
    </w:rPr>
  </w:style>
  <w:style w:type="character" w:customStyle="1" w:styleId="BodyTextIndent2Char">
    <w:name w:val="Body Text Indent 2 Char"/>
    <w:basedOn w:val="DefaultParagraphFont"/>
    <w:link w:val="BodyTextIndent2"/>
    <w:rsid w:val="001621B4"/>
    <w:rPr>
      <w:sz w:val="24"/>
      <w:lang w:eastAsia="en-US"/>
    </w:rPr>
  </w:style>
  <w:style w:type="character" w:customStyle="1" w:styleId="BodyText3Char">
    <w:name w:val="Body Text 3 Char"/>
    <w:basedOn w:val="DefaultParagraphFont"/>
    <w:link w:val="BodyText3"/>
    <w:rsid w:val="001621B4"/>
    <w:rPr>
      <w:b/>
      <w:bCs/>
      <w:sz w:val="22"/>
      <w:lang w:eastAsia="en-US"/>
    </w:rPr>
  </w:style>
  <w:style w:type="character" w:customStyle="1" w:styleId="BodyTextIndentChar">
    <w:name w:val="Body Text Indent Char"/>
    <w:basedOn w:val="DefaultParagraphFont"/>
    <w:link w:val="BodyTextIndent"/>
    <w:rsid w:val="001621B4"/>
    <w:rPr>
      <w:sz w:val="24"/>
      <w:szCs w:val="24"/>
      <w:lang w:eastAsia="en-US"/>
    </w:rPr>
  </w:style>
  <w:style w:type="table" w:styleId="TableGridLight">
    <w:name w:val="Grid Table Light"/>
    <w:basedOn w:val="TableNormal"/>
    <w:uiPriority w:val="40"/>
    <w:rsid w:val="00235F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45641C"/>
    <w:rPr>
      <w:color w:val="0563C1"/>
      <w:u w:val="single"/>
    </w:rPr>
  </w:style>
  <w:style w:type="character" w:styleId="FollowedHyperlink">
    <w:name w:val="FollowedHyperlink"/>
    <w:basedOn w:val="DefaultParagraphFont"/>
    <w:uiPriority w:val="99"/>
    <w:semiHidden/>
    <w:unhideWhenUsed/>
    <w:rsid w:val="0045641C"/>
    <w:rPr>
      <w:color w:val="954F72"/>
      <w:u w:val="single"/>
    </w:rPr>
  </w:style>
  <w:style w:type="paragraph" w:customStyle="1" w:styleId="msonormal0">
    <w:name w:val="msonormal"/>
    <w:basedOn w:val="Normal"/>
    <w:rsid w:val="0045641C"/>
    <w:pPr>
      <w:spacing w:before="100" w:beforeAutospacing="1" w:after="100" w:afterAutospacing="1"/>
    </w:pPr>
    <w:rPr>
      <w:lang w:eastAsia="hr-HR"/>
    </w:rPr>
  </w:style>
  <w:style w:type="paragraph" w:customStyle="1" w:styleId="font5">
    <w:name w:val="font5"/>
    <w:basedOn w:val="Normal"/>
    <w:rsid w:val="0045641C"/>
    <w:pPr>
      <w:spacing w:before="100" w:beforeAutospacing="1" w:after="100" w:afterAutospacing="1"/>
    </w:pPr>
    <w:rPr>
      <w:rFonts w:ascii="Calibri" w:hAnsi="Calibri" w:cs="Calibri"/>
      <w:b/>
      <w:bCs/>
      <w:sz w:val="22"/>
      <w:szCs w:val="22"/>
      <w:lang w:eastAsia="hr-HR"/>
    </w:rPr>
  </w:style>
  <w:style w:type="paragraph" w:customStyle="1" w:styleId="xl65">
    <w:name w:val="xl65"/>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66">
    <w:name w:val="xl66"/>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hr-HR"/>
    </w:rPr>
  </w:style>
  <w:style w:type="paragraph" w:customStyle="1" w:styleId="xl67">
    <w:name w:val="xl67"/>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hr-HR"/>
    </w:rPr>
  </w:style>
  <w:style w:type="paragraph" w:customStyle="1" w:styleId="xl68">
    <w:name w:val="xl68"/>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69">
    <w:name w:val="xl69"/>
    <w:basedOn w:val="Normal"/>
    <w:rsid w:val="0045641C"/>
    <w:pPr>
      <w:spacing w:before="100" w:beforeAutospacing="1" w:after="100" w:afterAutospacing="1"/>
      <w:jc w:val="right"/>
    </w:pPr>
    <w:rPr>
      <w:lang w:eastAsia="hr-HR"/>
    </w:rPr>
  </w:style>
  <w:style w:type="paragraph" w:customStyle="1" w:styleId="xl70">
    <w:name w:val="xl70"/>
    <w:basedOn w:val="Normal"/>
    <w:rsid w:val="0045641C"/>
    <w:pPr>
      <w:spacing w:before="100" w:beforeAutospacing="1" w:after="100" w:afterAutospacing="1"/>
    </w:pPr>
    <w:rPr>
      <w:b/>
      <w:bCs/>
      <w:lang w:eastAsia="hr-HR"/>
    </w:rPr>
  </w:style>
  <w:style w:type="paragraph" w:customStyle="1" w:styleId="xl71">
    <w:name w:val="xl71"/>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r-HR"/>
    </w:rPr>
  </w:style>
  <w:style w:type="paragraph" w:customStyle="1" w:styleId="xl72">
    <w:name w:val="xl72"/>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r-HR"/>
    </w:rPr>
  </w:style>
  <w:style w:type="paragraph" w:customStyle="1" w:styleId="xl73">
    <w:name w:val="xl73"/>
    <w:basedOn w:val="Normal"/>
    <w:rsid w:val="0045641C"/>
    <w:pPr>
      <w:spacing w:before="100" w:beforeAutospacing="1" w:after="100" w:afterAutospacing="1"/>
      <w:jc w:val="right"/>
    </w:pPr>
    <w:rPr>
      <w:b/>
      <w:bCs/>
      <w:lang w:eastAsia="hr-HR"/>
    </w:rPr>
  </w:style>
  <w:style w:type="paragraph" w:customStyle="1" w:styleId="xl74">
    <w:name w:val="xl74"/>
    <w:basedOn w:val="Normal"/>
    <w:rsid w:val="0045641C"/>
    <w:pPr>
      <w:spacing w:before="100" w:beforeAutospacing="1" w:after="100" w:afterAutospacing="1"/>
    </w:pPr>
    <w:rPr>
      <w:lang w:eastAsia="hr-HR"/>
    </w:rPr>
  </w:style>
  <w:style w:type="paragraph" w:customStyle="1" w:styleId="xl75">
    <w:name w:val="xl75"/>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76">
    <w:name w:val="xl76"/>
    <w:basedOn w:val="Normal"/>
    <w:rsid w:val="0045641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rPr>
  </w:style>
  <w:style w:type="paragraph" w:customStyle="1" w:styleId="xl77">
    <w:name w:val="xl77"/>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eastAsia="hr-HR"/>
    </w:rPr>
  </w:style>
  <w:style w:type="paragraph" w:customStyle="1" w:styleId="xl78">
    <w:name w:val="xl78"/>
    <w:basedOn w:val="Normal"/>
    <w:rsid w:val="0045641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rPr>
  </w:style>
  <w:style w:type="paragraph" w:customStyle="1" w:styleId="xl79">
    <w:name w:val="xl79"/>
    <w:basedOn w:val="Normal"/>
    <w:rsid w:val="0045641C"/>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sz w:val="20"/>
      <w:szCs w:val="20"/>
      <w:lang w:eastAsia="hr-HR"/>
    </w:rPr>
  </w:style>
  <w:style w:type="paragraph" w:customStyle="1" w:styleId="xl80">
    <w:name w:val="xl80"/>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81">
    <w:name w:val="xl81"/>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82">
    <w:name w:val="xl82"/>
    <w:basedOn w:val="Normal"/>
    <w:rsid w:val="0045641C"/>
    <w:pPr>
      <w:pBdr>
        <w:top w:val="single" w:sz="4" w:space="0" w:color="auto"/>
        <w:left w:val="single" w:sz="4" w:space="0" w:color="auto"/>
        <w:right w:val="single" w:sz="4" w:space="0" w:color="auto"/>
      </w:pBdr>
      <w:spacing w:before="100" w:beforeAutospacing="1" w:after="100" w:afterAutospacing="1"/>
      <w:textAlignment w:val="top"/>
    </w:pPr>
    <w:rPr>
      <w:lang w:eastAsia="hr-HR"/>
    </w:rPr>
  </w:style>
  <w:style w:type="paragraph" w:customStyle="1" w:styleId="xl83">
    <w:name w:val="xl83"/>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84">
    <w:name w:val="xl84"/>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85">
    <w:name w:val="xl85"/>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u w:val="single"/>
      <w:lang w:eastAsia="hr-HR"/>
    </w:rPr>
  </w:style>
  <w:style w:type="paragraph" w:customStyle="1" w:styleId="xl86">
    <w:name w:val="xl86"/>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eastAsia="hr-HR"/>
    </w:rPr>
  </w:style>
  <w:style w:type="paragraph" w:customStyle="1" w:styleId="xl87">
    <w:name w:val="xl87"/>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88">
    <w:name w:val="xl88"/>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89">
    <w:name w:val="xl89"/>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90">
    <w:name w:val="xl90"/>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91">
    <w:name w:val="xl91"/>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92">
    <w:name w:val="xl92"/>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pPr>
    <w:rPr>
      <w:lang w:eastAsia="hr-HR"/>
    </w:rPr>
  </w:style>
  <w:style w:type="paragraph" w:customStyle="1" w:styleId="xl93">
    <w:name w:val="xl93"/>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94">
    <w:name w:val="xl94"/>
    <w:basedOn w:val="Normal"/>
    <w:rsid w:val="0045641C"/>
    <w:pPr>
      <w:pBdr>
        <w:top w:val="single" w:sz="4" w:space="0" w:color="auto"/>
        <w:left w:val="single" w:sz="4" w:space="0" w:color="auto"/>
        <w:bottom w:val="single" w:sz="4" w:space="0" w:color="auto"/>
      </w:pBdr>
      <w:spacing w:before="100" w:beforeAutospacing="1" w:after="100" w:afterAutospacing="1"/>
      <w:jc w:val="center"/>
      <w:textAlignment w:val="center"/>
    </w:pPr>
    <w:rPr>
      <w:lang w:eastAsia="hr-HR"/>
    </w:rPr>
  </w:style>
  <w:style w:type="paragraph" w:customStyle="1" w:styleId="xl95">
    <w:name w:val="xl95"/>
    <w:basedOn w:val="Normal"/>
    <w:rsid w:val="0045641C"/>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96">
    <w:name w:val="xl96"/>
    <w:basedOn w:val="Normal"/>
    <w:rsid w:val="0045641C"/>
    <w:pPr>
      <w:spacing w:before="100" w:beforeAutospacing="1" w:after="100" w:afterAutospacing="1"/>
      <w:jc w:val="center"/>
      <w:textAlignment w:val="center"/>
    </w:pPr>
    <w:rPr>
      <w:rFonts w:ascii="Arial" w:hAnsi="Arial" w:cs="Arial"/>
      <w:sz w:val="20"/>
      <w:szCs w:val="20"/>
      <w:lang w:eastAsia="hr-HR"/>
    </w:rPr>
  </w:style>
  <w:style w:type="paragraph" w:customStyle="1" w:styleId="xl97">
    <w:name w:val="xl97"/>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hr-HR"/>
    </w:rPr>
  </w:style>
  <w:style w:type="paragraph" w:customStyle="1" w:styleId="xl98">
    <w:name w:val="xl98"/>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r-HR"/>
    </w:rPr>
  </w:style>
  <w:style w:type="paragraph" w:customStyle="1" w:styleId="xl99">
    <w:name w:val="xl99"/>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hr-HR"/>
    </w:rPr>
  </w:style>
  <w:style w:type="paragraph" w:customStyle="1" w:styleId="xl100">
    <w:name w:val="xl100"/>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r-HR"/>
    </w:rPr>
  </w:style>
  <w:style w:type="paragraph" w:customStyle="1" w:styleId="xl101">
    <w:name w:val="xl101"/>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hr-HR"/>
    </w:rPr>
  </w:style>
  <w:style w:type="paragraph" w:customStyle="1" w:styleId="xl102">
    <w:name w:val="xl102"/>
    <w:basedOn w:val="Normal"/>
    <w:rsid w:val="0045641C"/>
    <w:pPr>
      <w:pBdr>
        <w:top w:val="single" w:sz="4" w:space="0" w:color="auto"/>
        <w:left w:val="single" w:sz="4" w:space="0" w:color="auto"/>
        <w:bottom w:val="single" w:sz="4" w:space="0" w:color="auto"/>
      </w:pBdr>
      <w:spacing w:before="100" w:beforeAutospacing="1" w:after="100" w:afterAutospacing="1"/>
      <w:jc w:val="center"/>
    </w:pPr>
    <w:rPr>
      <w:b/>
      <w:bCs/>
      <w:lang w:eastAsia="hr-HR"/>
    </w:rPr>
  </w:style>
  <w:style w:type="paragraph" w:customStyle="1" w:styleId="xl103">
    <w:name w:val="xl103"/>
    <w:basedOn w:val="Normal"/>
    <w:rsid w:val="0045641C"/>
    <w:pPr>
      <w:pBdr>
        <w:top w:val="single" w:sz="4" w:space="0" w:color="auto"/>
        <w:bottom w:val="single" w:sz="4" w:space="0" w:color="auto"/>
        <w:right w:val="single" w:sz="4" w:space="0" w:color="auto"/>
      </w:pBdr>
      <w:spacing w:before="100" w:beforeAutospacing="1" w:after="100" w:afterAutospacing="1"/>
      <w:jc w:val="center"/>
    </w:pPr>
    <w:rPr>
      <w:b/>
      <w:bCs/>
      <w:lang w:eastAsia="hr-HR"/>
    </w:rPr>
  </w:style>
  <w:style w:type="paragraph" w:customStyle="1" w:styleId="xl104">
    <w:name w:val="xl104"/>
    <w:basedOn w:val="Normal"/>
    <w:rsid w:val="00634F8E"/>
    <w:pPr>
      <w:pBdr>
        <w:top w:val="single" w:sz="4" w:space="0" w:color="auto"/>
        <w:left w:val="single" w:sz="4" w:space="0" w:color="auto"/>
      </w:pBdr>
      <w:spacing w:before="100" w:beforeAutospacing="1" w:after="100" w:afterAutospacing="1"/>
      <w:jc w:val="center"/>
    </w:pPr>
    <w:rPr>
      <w:lang w:eastAsia="hr-HR"/>
    </w:rPr>
  </w:style>
  <w:style w:type="paragraph" w:customStyle="1" w:styleId="xl105">
    <w:name w:val="xl105"/>
    <w:basedOn w:val="Normal"/>
    <w:rsid w:val="00634F8E"/>
    <w:pPr>
      <w:pBdr>
        <w:top w:val="single" w:sz="4" w:space="0" w:color="auto"/>
        <w:left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106">
    <w:name w:val="xl106"/>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eastAsia="hr-HR"/>
    </w:rPr>
  </w:style>
  <w:style w:type="paragraph" w:customStyle="1" w:styleId="xl107">
    <w:name w:val="xl107"/>
    <w:basedOn w:val="Normal"/>
    <w:rsid w:val="00634F8E"/>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lang w:eastAsia="hr-HR"/>
    </w:rPr>
  </w:style>
  <w:style w:type="paragraph" w:customStyle="1" w:styleId="xl108">
    <w:name w:val="xl108"/>
    <w:basedOn w:val="Normal"/>
    <w:rsid w:val="00634F8E"/>
    <w:pPr>
      <w:pBdr>
        <w:top w:val="single" w:sz="4" w:space="0" w:color="auto"/>
        <w:left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109">
    <w:name w:val="xl109"/>
    <w:basedOn w:val="Normal"/>
    <w:rsid w:val="00634F8E"/>
    <w:pPr>
      <w:pBdr>
        <w:left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110">
    <w:name w:val="xl110"/>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hr-HR"/>
    </w:rPr>
  </w:style>
  <w:style w:type="paragraph" w:customStyle="1" w:styleId="xl111">
    <w:name w:val="xl111"/>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hr-HR"/>
    </w:rPr>
  </w:style>
  <w:style w:type="paragraph" w:customStyle="1" w:styleId="xl112">
    <w:name w:val="xl112"/>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13">
    <w:name w:val="xl113"/>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hr-HR"/>
    </w:rPr>
  </w:style>
  <w:style w:type="paragraph" w:customStyle="1" w:styleId="xl114">
    <w:name w:val="xl114"/>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15">
    <w:name w:val="xl115"/>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16">
    <w:name w:val="xl116"/>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17">
    <w:name w:val="xl117"/>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118">
    <w:name w:val="xl118"/>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19">
    <w:name w:val="xl119"/>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20">
    <w:name w:val="xl120"/>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121">
    <w:name w:val="xl121"/>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22">
    <w:name w:val="xl122"/>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23">
    <w:name w:val="xl123"/>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eastAsia="hr-HR"/>
    </w:rPr>
  </w:style>
  <w:style w:type="paragraph" w:customStyle="1" w:styleId="xl124">
    <w:name w:val="xl124"/>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25">
    <w:name w:val="xl125"/>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26">
    <w:name w:val="xl126"/>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27">
    <w:name w:val="xl127"/>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28">
    <w:name w:val="xl128"/>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29">
    <w:name w:val="xl129"/>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eastAsia="hr-HR"/>
    </w:rPr>
  </w:style>
  <w:style w:type="paragraph" w:customStyle="1" w:styleId="xl130">
    <w:name w:val="xl130"/>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u w:val="single"/>
      <w:lang w:eastAsia="hr-HR"/>
    </w:rPr>
  </w:style>
  <w:style w:type="paragraph" w:customStyle="1" w:styleId="xl131">
    <w:name w:val="xl131"/>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32">
    <w:name w:val="xl132"/>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eastAsia="hr-HR"/>
    </w:rPr>
  </w:style>
  <w:style w:type="paragraph" w:customStyle="1" w:styleId="xl133">
    <w:name w:val="xl133"/>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34">
    <w:name w:val="xl134"/>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35">
    <w:name w:val="xl135"/>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136">
    <w:name w:val="xl136"/>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37">
    <w:name w:val="xl137"/>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eastAsia="hr-HR"/>
    </w:rPr>
  </w:style>
  <w:style w:type="paragraph" w:customStyle="1" w:styleId="xl138">
    <w:name w:val="xl138"/>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139">
    <w:name w:val="xl139"/>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140">
    <w:name w:val="xl140"/>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41">
    <w:name w:val="xl141"/>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eastAsia="hr-HR"/>
    </w:rPr>
  </w:style>
  <w:style w:type="paragraph" w:customStyle="1" w:styleId="xl142">
    <w:name w:val="xl142"/>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43">
    <w:name w:val="xl143"/>
    <w:basedOn w:val="Normal"/>
    <w:rsid w:val="00634F8E"/>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44">
    <w:name w:val="xl144"/>
    <w:basedOn w:val="Normal"/>
    <w:rsid w:val="00634F8E"/>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45">
    <w:name w:val="xl145"/>
    <w:basedOn w:val="Normal"/>
    <w:rsid w:val="00634F8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eastAsia="hr-HR"/>
    </w:rPr>
  </w:style>
  <w:style w:type="paragraph" w:customStyle="1" w:styleId="xl146">
    <w:name w:val="xl146"/>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147">
    <w:name w:val="xl147"/>
    <w:basedOn w:val="Normal"/>
    <w:rsid w:val="00634F8E"/>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0"/>
      <w:szCs w:val="20"/>
      <w:lang w:eastAsia="hr-HR"/>
    </w:rPr>
  </w:style>
  <w:style w:type="paragraph" w:customStyle="1" w:styleId="xl148">
    <w:name w:val="xl148"/>
    <w:basedOn w:val="Normal"/>
    <w:rsid w:val="00634F8E"/>
    <w:pPr>
      <w:pBdr>
        <w:top w:val="single" w:sz="8" w:space="0" w:color="auto"/>
        <w:bottom w:val="single" w:sz="8" w:space="0" w:color="auto"/>
      </w:pBdr>
      <w:spacing w:before="100" w:beforeAutospacing="1" w:after="100" w:afterAutospacing="1"/>
    </w:pPr>
    <w:rPr>
      <w:lang w:eastAsia="hr-HR"/>
    </w:rPr>
  </w:style>
  <w:style w:type="paragraph" w:customStyle="1" w:styleId="xl149">
    <w:name w:val="xl149"/>
    <w:basedOn w:val="Normal"/>
    <w:rsid w:val="00634F8E"/>
    <w:pPr>
      <w:pBdr>
        <w:top w:val="single" w:sz="8" w:space="0" w:color="auto"/>
        <w:bottom w:val="single" w:sz="8" w:space="0" w:color="auto"/>
        <w:right w:val="single" w:sz="8" w:space="0" w:color="auto"/>
      </w:pBdr>
      <w:spacing w:before="100" w:beforeAutospacing="1" w:after="100" w:afterAutospacing="1"/>
    </w:pPr>
    <w:rPr>
      <w:b/>
      <w:bCs/>
      <w:lang w:eastAsia="hr-HR"/>
    </w:rPr>
  </w:style>
  <w:style w:type="paragraph" w:customStyle="1" w:styleId="xl150">
    <w:name w:val="xl150"/>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hr-HR"/>
    </w:rPr>
  </w:style>
  <w:style w:type="paragraph" w:customStyle="1" w:styleId="xl151">
    <w:name w:val="xl151"/>
    <w:basedOn w:val="Normal"/>
    <w:rsid w:val="00634F8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lang w:eastAsia="hr-HR"/>
    </w:rPr>
  </w:style>
  <w:style w:type="paragraph" w:customStyle="1" w:styleId="xl152">
    <w:name w:val="xl152"/>
    <w:basedOn w:val="Normal"/>
    <w:rsid w:val="00634F8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20"/>
      <w:szCs w:val="20"/>
      <w:lang w:eastAsia="hr-HR"/>
    </w:rPr>
  </w:style>
  <w:style w:type="paragraph" w:customStyle="1" w:styleId="xl153">
    <w:name w:val="xl153"/>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lang w:eastAsia="hr-HR"/>
    </w:rPr>
  </w:style>
  <w:style w:type="paragraph" w:customStyle="1" w:styleId="xl154">
    <w:name w:val="xl154"/>
    <w:basedOn w:val="Normal"/>
    <w:rsid w:val="00634F8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lang w:eastAsia="hr-HR"/>
    </w:rPr>
  </w:style>
  <w:style w:type="paragraph" w:customStyle="1" w:styleId="xl155">
    <w:name w:val="xl155"/>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lang w:eastAsia="hr-HR"/>
    </w:rPr>
  </w:style>
  <w:style w:type="paragraph" w:customStyle="1" w:styleId="xl156">
    <w:name w:val="xl156"/>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57">
    <w:name w:val="xl157"/>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158">
    <w:name w:val="xl158"/>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eastAsia="hr-HR"/>
    </w:rPr>
  </w:style>
  <w:style w:type="paragraph" w:customStyle="1" w:styleId="xl159">
    <w:name w:val="xl159"/>
    <w:basedOn w:val="Normal"/>
    <w:rsid w:val="00634F8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60">
    <w:name w:val="xl160"/>
    <w:basedOn w:val="Normal"/>
    <w:rsid w:val="00634F8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0"/>
      <w:szCs w:val="20"/>
      <w:lang w:eastAsia="hr-HR"/>
    </w:rPr>
  </w:style>
  <w:style w:type="paragraph" w:customStyle="1" w:styleId="xl161">
    <w:name w:val="xl161"/>
    <w:basedOn w:val="Normal"/>
    <w:rsid w:val="00634F8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0"/>
      <w:szCs w:val="20"/>
      <w:lang w:eastAsia="hr-HR"/>
    </w:rPr>
  </w:style>
  <w:style w:type="paragraph" w:customStyle="1" w:styleId="xl162">
    <w:name w:val="xl162"/>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hr-HR"/>
    </w:rPr>
  </w:style>
  <w:style w:type="paragraph" w:customStyle="1" w:styleId="xl163">
    <w:name w:val="xl163"/>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164">
    <w:name w:val="xl164"/>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165">
    <w:name w:val="xl165"/>
    <w:basedOn w:val="Normal"/>
    <w:rsid w:val="00634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06">
      <w:bodyDiv w:val="1"/>
      <w:marLeft w:val="0"/>
      <w:marRight w:val="0"/>
      <w:marTop w:val="0"/>
      <w:marBottom w:val="0"/>
      <w:divBdr>
        <w:top w:val="none" w:sz="0" w:space="0" w:color="auto"/>
        <w:left w:val="none" w:sz="0" w:space="0" w:color="auto"/>
        <w:bottom w:val="none" w:sz="0" w:space="0" w:color="auto"/>
        <w:right w:val="none" w:sz="0" w:space="0" w:color="auto"/>
      </w:divBdr>
    </w:div>
    <w:div w:id="14812167">
      <w:bodyDiv w:val="1"/>
      <w:marLeft w:val="0"/>
      <w:marRight w:val="0"/>
      <w:marTop w:val="0"/>
      <w:marBottom w:val="0"/>
      <w:divBdr>
        <w:top w:val="none" w:sz="0" w:space="0" w:color="auto"/>
        <w:left w:val="none" w:sz="0" w:space="0" w:color="auto"/>
        <w:bottom w:val="none" w:sz="0" w:space="0" w:color="auto"/>
        <w:right w:val="none" w:sz="0" w:space="0" w:color="auto"/>
      </w:divBdr>
    </w:div>
    <w:div w:id="19556202">
      <w:bodyDiv w:val="1"/>
      <w:marLeft w:val="0"/>
      <w:marRight w:val="0"/>
      <w:marTop w:val="0"/>
      <w:marBottom w:val="0"/>
      <w:divBdr>
        <w:top w:val="none" w:sz="0" w:space="0" w:color="auto"/>
        <w:left w:val="none" w:sz="0" w:space="0" w:color="auto"/>
        <w:bottom w:val="none" w:sz="0" w:space="0" w:color="auto"/>
        <w:right w:val="none" w:sz="0" w:space="0" w:color="auto"/>
      </w:divBdr>
    </w:div>
    <w:div w:id="25258346">
      <w:bodyDiv w:val="1"/>
      <w:marLeft w:val="0"/>
      <w:marRight w:val="0"/>
      <w:marTop w:val="0"/>
      <w:marBottom w:val="0"/>
      <w:divBdr>
        <w:top w:val="none" w:sz="0" w:space="0" w:color="auto"/>
        <w:left w:val="none" w:sz="0" w:space="0" w:color="auto"/>
        <w:bottom w:val="none" w:sz="0" w:space="0" w:color="auto"/>
        <w:right w:val="none" w:sz="0" w:space="0" w:color="auto"/>
      </w:divBdr>
    </w:div>
    <w:div w:id="42679075">
      <w:bodyDiv w:val="1"/>
      <w:marLeft w:val="0"/>
      <w:marRight w:val="0"/>
      <w:marTop w:val="0"/>
      <w:marBottom w:val="0"/>
      <w:divBdr>
        <w:top w:val="none" w:sz="0" w:space="0" w:color="auto"/>
        <w:left w:val="none" w:sz="0" w:space="0" w:color="auto"/>
        <w:bottom w:val="none" w:sz="0" w:space="0" w:color="auto"/>
        <w:right w:val="none" w:sz="0" w:space="0" w:color="auto"/>
      </w:divBdr>
    </w:div>
    <w:div w:id="62263334">
      <w:bodyDiv w:val="1"/>
      <w:marLeft w:val="0"/>
      <w:marRight w:val="0"/>
      <w:marTop w:val="0"/>
      <w:marBottom w:val="0"/>
      <w:divBdr>
        <w:top w:val="none" w:sz="0" w:space="0" w:color="auto"/>
        <w:left w:val="none" w:sz="0" w:space="0" w:color="auto"/>
        <w:bottom w:val="none" w:sz="0" w:space="0" w:color="auto"/>
        <w:right w:val="none" w:sz="0" w:space="0" w:color="auto"/>
      </w:divBdr>
    </w:div>
    <w:div w:id="89355094">
      <w:bodyDiv w:val="1"/>
      <w:marLeft w:val="0"/>
      <w:marRight w:val="0"/>
      <w:marTop w:val="0"/>
      <w:marBottom w:val="0"/>
      <w:divBdr>
        <w:top w:val="none" w:sz="0" w:space="0" w:color="auto"/>
        <w:left w:val="none" w:sz="0" w:space="0" w:color="auto"/>
        <w:bottom w:val="none" w:sz="0" w:space="0" w:color="auto"/>
        <w:right w:val="none" w:sz="0" w:space="0" w:color="auto"/>
      </w:divBdr>
    </w:div>
    <w:div w:id="98066801">
      <w:bodyDiv w:val="1"/>
      <w:marLeft w:val="0"/>
      <w:marRight w:val="0"/>
      <w:marTop w:val="0"/>
      <w:marBottom w:val="0"/>
      <w:divBdr>
        <w:top w:val="none" w:sz="0" w:space="0" w:color="auto"/>
        <w:left w:val="none" w:sz="0" w:space="0" w:color="auto"/>
        <w:bottom w:val="none" w:sz="0" w:space="0" w:color="auto"/>
        <w:right w:val="none" w:sz="0" w:space="0" w:color="auto"/>
      </w:divBdr>
    </w:div>
    <w:div w:id="108283514">
      <w:bodyDiv w:val="1"/>
      <w:marLeft w:val="0"/>
      <w:marRight w:val="0"/>
      <w:marTop w:val="0"/>
      <w:marBottom w:val="0"/>
      <w:divBdr>
        <w:top w:val="none" w:sz="0" w:space="0" w:color="auto"/>
        <w:left w:val="none" w:sz="0" w:space="0" w:color="auto"/>
        <w:bottom w:val="none" w:sz="0" w:space="0" w:color="auto"/>
        <w:right w:val="none" w:sz="0" w:space="0" w:color="auto"/>
      </w:divBdr>
    </w:div>
    <w:div w:id="133332829">
      <w:bodyDiv w:val="1"/>
      <w:marLeft w:val="0"/>
      <w:marRight w:val="0"/>
      <w:marTop w:val="0"/>
      <w:marBottom w:val="0"/>
      <w:divBdr>
        <w:top w:val="none" w:sz="0" w:space="0" w:color="auto"/>
        <w:left w:val="none" w:sz="0" w:space="0" w:color="auto"/>
        <w:bottom w:val="none" w:sz="0" w:space="0" w:color="auto"/>
        <w:right w:val="none" w:sz="0" w:space="0" w:color="auto"/>
      </w:divBdr>
    </w:div>
    <w:div w:id="138764676">
      <w:bodyDiv w:val="1"/>
      <w:marLeft w:val="0"/>
      <w:marRight w:val="0"/>
      <w:marTop w:val="0"/>
      <w:marBottom w:val="0"/>
      <w:divBdr>
        <w:top w:val="none" w:sz="0" w:space="0" w:color="auto"/>
        <w:left w:val="none" w:sz="0" w:space="0" w:color="auto"/>
        <w:bottom w:val="none" w:sz="0" w:space="0" w:color="auto"/>
        <w:right w:val="none" w:sz="0" w:space="0" w:color="auto"/>
      </w:divBdr>
    </w:div>
    <w:div w:id="142043389">
      <w:bodyDiv w:val="1"/>
      <w:marLeft w:val="0"/>
      <w:marRight w:val="0"/>
      <w:marTop w:val="0"/>
      <w:marBottom w:val="0"/>
      <w:divBdr>
        <w:top w:val="none" w:sz="0" w:space="0" w:color="auto"/>
        <w:left w:val="none" w:sz="0" w:space="0" w:color="auto"/>
        <w:bottom w:val="none" w:sz="0" w:space="0" w:color="auto"/>
        <w:right w:val="none" w:sz="0" w:space="0" w:color="auto"/>
      </w:divBdr>
    </w:div>
    <w:div w:id="155465070">
      <w:bodyDiv w:val="1"/>
      <w:marLeft w:val="0"/>
      <w:marRight w:val="0"/>
      <w:marTop w:val="0"/>
      <w:marBottom w:val="0"/>
      <w:divBdr>
        <w:top w:val="none" w:sz="0" w:space="0" w:color="auto"/>
        <w:left w:val="none" w:sz="0" w:space="0" w:color="auto"/>
        <w:bottom w:val="none" w:sz="0" w:space="0" w:color="auto"/>
        <w:right w:val="none" w:sz="0" w:space="0" w:color="auto"/>
      </w:divBdr>
    </w:div>
    <w:div w:id="162162826">
      <w:bodyDiv w:val="1"/>
      <w:marLeft w:val="0"/>
      <w:marRight w:val="0"/>
      <w:marTop w:val="0"/>
      <w:marBottom w:val="0"/>
      <w:divBdr>
        <w:top w:val="none" w:sz="0" w:space="0" w:color="auto"/>
        <w:left w:val="none" w:sz="0" w:space="0" w:color="auto"/>
        <w:bottom w:val="none" w:sz="0" w:space="0" w:color="auto"/>
        <w:right w:val="none" w:sz="0" w:space="0" w:color="auto"/>
      </w:divBdr>
    </w:div>
    <w:div w:id="173082968">
      <w:bodyDiv w:val="1"/>
      <w:marLeft w:val="0"/>
      <w:marRight w:val="0"/>
      <w:marTop w:val="0"/>
      <w:marBottom w:val="0"/>
      <w:divBdr>
        <w:top w:val="none" w:sz="0" w:space="0" w:color="auto"/>
        <w:left w:val="none" w:sz="0" w:space="0" w:color="auto"/>
        <w:bottom w:val="none" w:sz="0" w:space="0" w:color="auto"/>
        <w:right w:val="none" w:sz="0" w:space="0" w:color="auto"/>
      </w:divBdr>
    </w:div>
    <w:div w:id="190412879">
      <w:bodyDiv w:val="1"/>
      <w:marLeft w:val="0"/>
      <w:marRight w:val="0"/>
      <w:marTop w:val="0"/>
      <w:marBottom w:val="0"/>
      <w:divBdr>
        <w:top w:val="none" w:sz="0" w:space="0" w:color="auto"/>
        <w:left w:val="none" w:sz="0" w:space="0" w:color="auto"/>
        <w:bottom w:val="none" w:sz="0" w:space="0" w:color="auto"/>
        <w:right w:val="none" w:sz="0" w:space="0" w:color="auto"/>
      </w:divBdr>
    </w:div>
    <w:div w:id="196239539">
      <w:bodyDiv w:val="1"/>
      <w:marLeft w:val="0"/>
      <w:marRight w:val="0"/>
      <w:marTop w:val="0"/>
      <w:marBottom w:val="0"/>
      <w:divBdr>
        <w:top w:val="none" w:sz="0" w:space="0" w:color="auto"/>
        <w:left w:val="none" w:sz="0" w:space="0" w:color="auto"/>
        <w:bottom w:val="none" w:sz="0" w:space="0" w:color="auto"/>
        <w:right w:val="none" w:sz="0" w:space="0" w:color="auto"/>
      </w:divBdr>
    </w:div>
    <w:div w:id="202442481">
      <w:bodyDiv w:val="1"/>
      <w:marLeft w:val="0"/>
      <w:marRight w:val="0"/>
      <w:marTop w:val="0"/>
      <w:marBottom w:val="0"/>
      <w:divBdr>
        <w:top w:val="none" w:sz="0" w:space="0" w:color="auto"/>
        <w:left w:val="none" w:sz="0" w:space="0" w:color="auto"/>
        <w:bottom w:val="none" w:sz="0" w:space="0" w:color="auto"/>
        <w:right w:val="none" w:sz="0" w:space="0" w:color="auto"/>
      </w:divBdr>
    </w:div>
    <w:div w:id="205028964">
      <w:bodyDiv w:val="1"/>
      <w:marLeft w:val="0"/>
      <w:marRight w:val="0"/>
      <w:marTop w:val="0"/>
      <w:marBottom w:val="0"/>
      <w:divBdr>
        <w:top w:val="none" w:sz="0" w:space="0" w:color="auto"/>
        <w:left w:val="none" w:sz="0" w:space="0" w:color="auto"/>
        <w:bottom w:val="none" w:sz="0" w:space="0" w:color="auto"/>
        <w:right w:val="none" w:sz="0" w:space="0" w:color="auto"/>
      </w:divBdr>
    </w:div>
    <w:div w:id="206839309">
      <w:bodyDiv w:val="1"/>
      <w:marLeft w:val="0"/>
      <w:marRight w:val="0"/>
      <w:marTop w:val="0"/>
      <w:marBottom w:val="0"/>
      <w:divBdr>
        <w:top w:val="none" w:sz="0" w:space="0" w:color="auto"/>
        <w:left w:val="none" w:sz="0" w:space="0" w:color="auto"/>
        <w:bottom w:val="none" w:sz="0" w:space="0" w:color="auto"/>
        <w:right w:val="none" w:sz="0" w:space="0" w:color="auto"/>
      </w:divBdr>
    </w:div>
    <w:div w:id="217976460">
      <w:bodyDiv w:val="1"/>
      <w:marLeft w:val="0"/>
      <w:marRight w:val="0"/>
      <w:marTop w:val="0"/>
      <w:marBottom w:val="0"/>
      <w:divBdr>
        <w:top w:val="none" w:sz="0" w:space="0" w:color="auto"/>
        <w:left w:val="none" w:sz="0" w:space="0" w:color="auto"/>
        <w:bottom w:val="none" w:sz="0" w:space="0" w:color="auto"/>
        <w:right w:val="none" w:sz="0" w:space="0" w:color="auto"/>
      </w:divBdr>
    </w:div>
    <w:div w:id="248078118">
      <w:bodyDiv w:val="1"/>
      <w:marLeft w:val="0"/>
      <w:marRight w:val="0"/>
      <w:marTop w:val="0"/>
      <w:marBottom w:val="0"/>
      <w:divBdr>
        <w:top w:val="none" w:sz="0" w:space="0" w:color="auto"/>
        <w:left w:val="none" w:sz="0" w:space="0" w:color="auto"/>
        <w:bottom w:val="none" w:sz="0" w:space="0" w:color="auto"/>
        <w:right w:val="none" w:sz="0" w:space="0" w:color="auto"/>
      </w:divBdr>
    </w:div>
    <w:div w:id="250359804">
      <w:bodyDiv w:val="1"/>
      <w:marLeft w:val="0"/>
      <w:marRight w:val="0"/>
      <w:marTop w:val="0"/>
      <w:marBottom w:val="0"/>
      <w:divBdr>
        <w:top w:val="none" w:sz="0" w:space="0" w:color="auto"/>
        <w:left w:val="none" w:sz="0" w:space="0" w:color="auto"/>
        <w:bottom w:val="none" w:sz="0" w:space="0" w:color="auto"/>
        <w:right w:val="none" w:sz="0" w:space="0" w:color="auto"/>
      </w:divBdr>
    </w:div>
    <w:div w:id="252477345">
      <w:bodyDiv w:val="1"/>
      <w:marLeft w:val="0"/>
      <w:marRight w:val="0"/>
      <w:marTop w:val="0"/>
      <w:marBottom w:val="0"/>
      <w:divBdr>
        <w:top w:val="none" w:sz="0" w:space="0" w:color="auto"/>
        <w:left w:val="none" w:sz="0" w:space="0" w:color="auto"/>
        <w:bottom w:val="none" w:sz="0" w:space="0" w:color="auto"/>
        <w:right w:val="none" w:sz="0" w:space="0" w:color="auto"/>
      </w:divBdr>
    </w:div>
    <w:div w:id="256064517">
      <w:bodyDiv w:val="1"/>
      <w:marLeft w:val="0"/>
      <w:marRight w:val="0"/>
      <w:marTop w:val="0"/>
      <w:marBottom w:val="0"/>
      <w:divBdr>
        <w:top w:val="none" w:sz="0" w:space="0" w:color="auto"/>
        <w:left w:val="none" w:sz="0" w:space="0" w:color="auto"/>
        <w:bottom w:val="none" w:sz="0" w:space="0" w:color="auto"/>
        <w:right w:val="none" w:sz="0" w:space="0" w:color="auto"/>
      </w:divBdr>
    </w:div>
    <w:div w:id="274823497">
      <w:bodyDiv w:val="1"/>
      <w:marLeft w:val="0"/>
      <w:marRight w:val="0"/>
      <w:marTop w:val="0"/>
      <w:marBottom w:val="0"/>
      <w:divBdr>
        <w:top w:val="none" w:sz="0" w:space="0" w:color="auto"/>
        <w:left w:val="none" w:sz="0" w:space="0" w:color="auto"/>
        <w:bottom w:val="none" w:sz="0" w:space="0" w:color="auto"/>
        <w:right w:val="none" w:sz="0" w:space="0" w:color="auto"/>
      </w:divBdr>
    </w:div>
    <w:div w:id="290596250">
      <w:bodyDiv w:val="1"/>
      <w:marLeft w:val="0"/>
      <w:marRight w:val="0"/>
      <w:marTop w:val="0"/>
      <w:marBottom w:val="0"/>
      <w:divBdr>
        <w:top w:val="none" w:sz="0" w:space="0" w:color="auto"/>
        <w:left w:val="none" w:sz="0" w:space="0" w:color="auto"/>
        <w:bottom w:val="none" w:sz="0" w:space="0" w:color="auto"/>
        <w:right w:val="none" w:sz="0" w:space="0" w:color="auto"/>
      </w:divBdr>
    </w:div>
    <w:div w:id="310213456">
      <w:bodyDiv w:val="1"/>
      <w:marLeft w:val="0"/>
      <w:marRight w:val="0"/>
      <w:marTop w:val="0"/>
      <w:marBottom w:val="0"/>
      <w:divBdr>
        <w:top w:val="none" w:sz="0" w:space="0" w:color="auto"/>
        <w:left w:val="none" w:sz="0" w:space="0" w:color="auto"/>
        <w:bottom w:val="none" w:sz="0" w:space="0" w:color="auto"/>
        <w:right w:val="none" w:sz="0" w:space="0" w:color="auto"/>
      </w:divBdr>
    </w:div>
    <w:div w:id="322314621">
      <w:bodyDiv w:val="1"/>
      <w:marLeft w:val="0"/>
      <w:marRight w:val="0"/>
      <w:marTop w:val="0"/>
      <w:marBottom w:val="0"/>
      <w:divBdr>
        <w:top w:val="none" w:sz="0" w:space="0" w:color="auto"/>
        <w:left w:val="none" w:sz="0" w:space="0" w:color="auto"/>
        <w:bottom w:val="none" w:sz="0" w:space="0" w:color="auto"/>
        <w:right w:val="none" w:sz="0" w:space="0" w:color="auto"/>
      </w:divBdr>
    </w:div>
    <w:div w:id="339770773">
      <w:bodyDiv w:val="1"/>
      <w:marLeft w:val="0"/>
      <w:marRight w:val="0"/>
      <w:marTop w:val="0"/>
      <w:marBottom w:val="0"/>
      <w:divBdr>
        <w:top w:val="none" w:sz="0" w:space="0" w:color="auto"/>
        <w:left w:val="none" w:sz="0" w:space="0" w:color="auto"/>
        <w:bottom w:val="none" w:sz="0" w:space="0" w:color="auto"/>
        <w:right w:val="none" w:sz="0" w:space="0" w:color="auto"/>
      </w:divBdr>
    </w:div>
    <w:div w:id="346519459">
      <w:bodyDiv w:val="1"/>
      <w:marLeft w:val="0"/>
      <w:marRight w:val="0"/>
      <w:marTop w:val="0"/>
      <w:marBottom w:val="0"/>
      <w:divBdr>
        <w:top w:val="none" w:sz="0" w:space="0" w:color="auto"/>
        <w:left w:val="none" w:sz="0" w:space="0" w:color="auto"/>
        <w:bottom w:val="none" w:sz="0" w:space="0" w:color="auto"/>
        <w:right w:val="none" w:sz="0" w:space="0" w:color="auto"/>
      </w:divBdr>
    </w:div>
    <w:div w:id="354815331">
      <w:bodyDiv w:val="1"/>
      <w:marLeft w:val="0"/>
      <w:marRight w:val="0"/>
      <w:marTop w:val="0"/>
      <w:marBottom w:val="0"/>
      <w:divBdr>
        <w:top w:val="none" w:sz="0" w:space="0" w:color="auto"/>
        <w:left w:val="none" w:sz="0" w:space="0" w:color="auto"/>
        <w:bottom w:val="none" w:sz="0" w:space="0" w:color="auto"/>
        <w:right w:val="none" w:sz="0" w:space="0" w:color="auto"/>
      </w:divBdr>
    </w:div>
    <w:div w:id="386026648">
      <w:bodyDiv w:val="1"/>
      <w:marLeft w:val="0"/>
      <w:marRight w:val="0"/>
      <w:marTop w:val="0"/>
      <w:marBottom w:val="0"/>
      <w:divBdr>
        <w:top w:val="none" w:sz="0" w:space="0" w:color="auto"/>
        <w:left w:val="none" w:sz="0" w:space="0" w:color="auto"/>
        <w:bottom w:val="none" w:sz="0" w:space="0" w:color="auto"/>
        <w:right w:val="none" w:sz="0" w:space="0" w:color="auto"/>
      </w:divBdr>
    </w:div>
    <w:div w:id="386759931">
      <w:bodyDiv w:val="1"/>
      <w:marLeft w:val="0"/>
      <w:marRight w:val="0"/>
      <w:marTop w:val="0"/>
      <w:marBottom w:val="0"/>
      <w:divBdr>
        <w:top w:val="none" w:sz="0" w:space="0" w:color="auto"/>
        <w:left w:val="none" w:sz="0" w:space="0" w:color="auto"/>
        <w:bottom w:val="none" w:sz="0" w:space="0" w:color="auto"/>
        <w:right w:val="none" w:sz="0" w:space="0" w:color="auto"/>
      </w:divBdr>
    </w:div>
    <w:div w:id="388186151">
      <w:bodyDiv w:val="1"/>
      <w:marLeft w:val="0"/>
      <w:marRight w:val="0"/>
      <w:marTop w:val="0"/>
      <w:marBottom w:val="0"/>
      <w:divBdr>
        <w:top w:val="none" w:sz="0" w:space="0" w:color="auto"/>
        <w:left w:val="none" w:sz="0" w:space="0" w:color="auto"/>
        <w:bottom w:val="none" w:sz="0" w:space="0" w:color="auto"/>
        <w:right w:val="none" w:sz="0" w:space="0" w:color="auto"/>
      </w:divBdr>
    </w:div>
    <w:div w:id="430666496">
      <w:bodyDiv w:val="1"/>
      <w:marLeft w:val="0"/>
      <w:marRight w:val="0"/>
      <w:marTop w:val="0"/>
      <w:marBottom w:val="0"/>
      <w:divBdr>
        <w:top w:val="none" w:sz="0" w:space="0" w:color="auto"/>
        <w:left w:val="none" w:sz="0" w:space="0" w:color="auto"/>
        <w:bottom w:val="none" w:sz="0" w:space="0" w:color="auto"/>
        <w:right w:val="none" w:sz="0" w:space="0" w:color="auto"/>
      </w:divBdr>
    </w:div>
    <w:div w:id="431828094">
      <w:bodyDiv w:val="1"/>
      <w:marLeft w:val="0"/>
      <w:marRight w:val="0"/>
      <w:marTop w:val="0"/>
      <w:marBottom w:val="0"/>
      <w:divBdr>
        <w:top w:val="none" w:sz="0" w:space="0" w:color="auto"/>
        <w:left w:val="none" w:sz="0" w:space="0" w:color="auto"/>
        <w:bottom w:val="none" w:sz="0" w:space="0" w:color="auto"/>
        <w:right w:val="none" w:sz="0" w:space="0" w:color="auto"/>
      </w:divBdr>
    </w:div>
    <w:div w:id="43536624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53065316">
      <w:bodyDiv w:val="1"/>
      <w:marLeft w:val="0"/>
      <w:marRight w:val="0"/>
      <w:marTop w:val="0"/>
      <w:marBottom w:val="0"/>
      <w:divBdr>
        <w:top w:val="none" w:sz="0" w:space="0" w:color="auto"/>
        <w:left w:val="none" w:sz="0" w:space="0" w:color="auto"/>
        <w:bottom w:val="none" w:sz="0" w:space="0" w:color="auto"/>
        <w:right w:val="none" w:sz="0" w:space="0" w:color="auto"/>
      </w:divBdr>
    </w:div>
    <w:div w:id="478689855">
      <w:bodyDiv w:val="1"/>
      <w:marLeft w:val="0"/>
      <w:marRight w:val="0"/>
      <w:marTop w:val="0"/>
      <w:marBottom w:val="0"/>
      <w:divBdr>
        <w:top w:val="none" w:sz="0" w:space="0" w:color="auto"/>
        <w:left w:val="none" w:sz="0" w:space="0" w:color="auto"/>
        <w:bottom w:val="none" w:sz="0" w:space="0" w:color="auto"/>
        <w:right w:val="none" w:sz="0" w:space="0" w:color="auto"/>
      </w:divBdr>
    </w:div>
    <w:div w:id="480191748">
      <w:bodyDiv w:val="1"/>
      <w:marLeft w:val="0"/>
      <w:marRight w:val="0"/>
      <w:marTop w:val="0"/>
      <w:marBottom w:val="0"/>
      <w:divBdr>
        <w:top w:val="none" w:sz="0" w:space="0" w:color="auto"/>
        <w:left w:val="none" w:sz="0" w:space="0" w:color="auto"/>
        <w:bottom w:val="none" w:sz="0" w:space="0" w:color="auto"/>
        <w:right w:val="none" w:sz="0" w:space="0" w:color="auto"/>
      </w:divBdr>
    </w:div>
    <w:div w:id="497429949">
      <w:bodyDiv w:val="1"/>
      <w:marLeft w:val="0"/>
      <w:marRight w:val="0"/>
      <w:marTop w:val="0"/>
      <w:marBottom w:val="0"/>
      <w:divBdr>
        <w:top w:val="none" w:sz="0" w:space="0" w:color="auto"/>
        <w:left w:val="none" w:sz="0" w:space="0" w:color="auto"/>
        <w:bottom w:val="none" w:sz="0" w:space="0" w:color="auto"/>
        <w:right w:val="none" w:sz="0" w:space="0" w:color="auto"/>
      </w:divBdr>
    </w:div>
    <w:div w:id="498741630">
      <w:bodyDiv w:val="1"/>
      <w:marLeft w:val="0"/>
      <w:marRight w:val="0"/>
      <w:marTop w:val="0"/>
      <w:marBottom w:val="0"/>
      <w:divBdr>
        <w:top w:val="none" w:sz="0" w:space="0" w:color="auto"/>
        <w:left w:val="none" w:sz="0" w:space="0" w:color="auto"/>
        <w:bottom w:val="none" w:sz="0" w:space="0" w:color="auto"/>
        <w:right w:val="none" w:sz="0" w:space="0" w:color="auto"/>
      </w:divBdr>
    </w:div>
    <w:div w:id="510291289">
      <w:bodyDiv w:val="1"/>
      <w:marLeft w:val="0"/>
      <w:marRight w:val="0"/>
      <w:marTop w:val="0"/>
      <w:marBottom w:val="0"/>
      <w:divBdr>
        <w:top w:val="none" w:sz="0" w:space="0" w:color="auto"/>
        <w:left w:val="none" w:sz="0" w:space="0" w:color="auto"/>
        <w:bottom w:val="none" w:sz="0" w:space="0" w:color="auto"/>
        <w:right w:val="none" w:sz="0" w:space="0" w:color="auto"/>
      </w:divBdr>
    </w:div>
    <w:div w:id="515966807">
      <w:bodyDiv w:val="1"/>
      <w:marLeft w:val="0"/>
      <w:marRight w:val="0"/>
      <w:marTop w:val="0"/>
      <w:marBottom w:val="0"/>
      <w:divBdr>
        <w:top w:val="none" w:sz="0" w:space="0" w:color="auto"/>
        <w:left w:val="none" w:sz="0" w:space="0" w:color="auto"/>
        <w:bottom w:val="none" w:sz="0" w:space="0" w:color="auto"/>
        <w:right w:val="none" w:sz="0" w:space="0" w:color="auto"/>
      </w:divBdr>
    </w:div>
    <w:div w:id="521944296">
      <w:bodyDiv w:val="1"/>
      <w:marLeft w:val="0"/>
      <w:marRight w:val="0"/>
      <w:marTop w:val="0"/>
      <w:marBottom w:val="0"/>
      <w:divBdr>
        <w:top w:val="none" w:sz="0" w:space="0" w:color="auto"/>
        <w:left w:val="none" w:sz="0" w:space="0" w:color="auto"/>
        <w:bottom w:val="none" w:sz="0" w:space="0" w:color="auto"/>
        <w:right w:val="none" w:sz="0" w:space="0" w:color="auto"/>
      </w:divBdr>
    </w:div>
    <w:div w:id="561453456">
      <w:bodyDiv w:val="1"/>
      <w:marLeft w:val="0"/>
      <w:marRight w:val="0"/>
      <w:marTop w:val="0"/>
      <w:marBottom w:val="0"/>
      <w:divBdr>
        <w:top w:val="none" w:sz="0" w:space="0" w:color="auto"/>
        <w:left w:val="none" w:sz="0" w:space="0" w:color="auto"/>
        <w:bottom w:val="none" w:sz="0" w:space="0" w:color="auto"/>
        <w:right w:val="none" w:sz="0" w:space="0" w:color="auto"/>
      </w:divBdr>
    </w:div>
    <w:div w:id="563487583">
      <w:bodyDiv w:val="1"/>
      <w:marLeft w:val="0"/>
      <w:marRight w:val="0"/>
      <w:marTop w:val="0"/>
      <w:marBottom w:val="0"/>
      <w:divBdr>
        <w:top w:val="none" w:sz="0" w:space="0" w:color="auto"/>
        <w:left w:val="none" w:sz="0" w:space="0" w:color="auto"/>
        <w:bottom w:val="none" w:sz="0" w:space="0" w:color="auto"/>
        <w:right w:val="none" w:sz="0" w:space="0" w:color="auto"/>
      </w:divBdr>
    </w:div>
    <w:div w:id="570234817">
      <w:bodyDiv w:val="1"/>
      <w:marLeft w:val="0"/>
      <w:marRight w:val="0"/>
      <w:marTop w:val="0"/>
      <w:marBottom w:val="0"/>
      <w:divBdr>
        <w:top w:val="none" w:sz="0" w:space="0" w:color="auto"/>
        <w:left w:val="none" w:sz="0" w:space="0" w:color="auto"/>
        <w:bottom w:val="none" w:sz="0" w:space="0" w:color="auto"/>
        <w:right w:val="none" w:sz="0" w:space="0" w:color="auto"/>
      </w:divBdr>
    </w:div>
    <w:div w:id="584919013">
      <w:bodyDiv w:val="1"/>
      <w:marLeft w:val="0"/>
      <w:marRight w:val="0"/>
      <w:marTop w:val="0"/>
      <w:marBottom w:val="0"/>
      <w:divBdr>
        <w:top w:val="none" w:sz="0" w:space="0" w:color="auto"/>
        <w:left w:val="none" w:sz="0" w:space="0" w:color="auto"/>
        <w:bottom w:val="none" w:sz="0" w:space="0" w:color="auto"/>
        <w:right w:val="none" w:sz="0" w:space="0" w:color="auto"/>
      </w:divBdr>
    </w:div>
    <w:div w:id="592981071">
      <w:bodyDiv w:val="1"/>
      <w:marLeft w:val="0"/>
      <w:marRight w:val="0"/>
      <w:marTop w:val="0"/>
      <w:marBottom w:val="0"/>
      <w:divBdr>
        <w:top w:val="none" w:sz="0" w:space="0" w:color="auto"/>
        <w:left w:val="none" w:sz="0" w:space="0" w:color="auto"/>
        <w:bottom w:val="none" w:sz="0" w:space="0" w:color="auto"/>
        <w:right w:val="none" w:sz="0" w:space="0" w:color="auto"/>
      </w:divBdr>
    </w:div>
    <w:div w:id="598028651">
      <w:bodyDiv w:val="1"/>
      <w:marLeft w:val="0"/>
      <w:marRight w:val="0"/>
      <w:marTop w:val="0"/>
      <w:marBottom w:val="0"/>
      <w:divBdr>
        <w:top w:val="none" w:sz="0" w:space="0" w:color="auto"/>
        <w:left w:val="none" w:sz="0" w:space="0" w:color="auto"/>
        <w:bottom w:val="none" w:sz="0" w:space="0" w:color="auto"/>
        <w:right w:val="none" w:sz="0" w:space="0" w:color="auto"/>
      </w:divBdr>
    </w:div>
    <w:div w:id="639504163">
      <w:bodyDiv w:val="1"/>
      <w:marLeft w:val="0"/>
      <w:marRight w:val="0"/>
      <w:marTop w:val="0"/>
      <w:marBottom w:val="0"/>
      <w:divBdr>
        <w:top w:val="none" w:sz="0" w:space="0" w:color="auto"/>
        <w:left w:val="none" w:sz="0" w:space="0" w:color="auto"/>
        <w:bottom w:val="none" w:sz="0" w:space="0" w:color="auto"/>
        <w:right w:val="none" w:sz="0" w:space="0" w:color="auto"/>
      </w:divBdr>
    </w:div>
    <w:div w:id="643629293">
      <w:bodyDiv w:val="1"/>
      <w:marLeft w:val="0"/>
      <w:marRight w:val="0"/>
      <w:marTop w:val="0"/>
      <w:marBottom w:val="0"/>
      <w:divBdr>
        <w:top w:val="none" w:sz="0" w:space="0" w:color="auto"/>
        <w:left w:val="none" w:sz="0" w:space="0" w:color="auto"/>
        <w:bottom w:val="none" w:sz="0" w:space="0" w:color="auto"/>
        <w:right w:val="none" w:sz="0" w:space="0" w:color="auto"/>
      </w:divBdr>
    </w:div>
    <w:div w:id="644162290">
      <w:bodyDiv w:val="1"/>
      <w:marLeft w:val="0"/>
      <w:marRight w:val="0"/>
      <w:marTop w:val="0"/>
      <w:marBottom w:val="0"/>
      <w:divBdr>
        <w:top w:val="none" w:sz="0" w:space="0" w:color="auto"/>
        <w:left w:val="none" w:sz="0" w:space="0" w:color="auto"/>
        <w:bottom w:val="none" w:sz="0" w:space="0" w:color="auto"/>
        <w:right w:val="none" w:sz="0" w:space="0" w:color="auto"/>
      </w:divBdr>
    </w:div>
    <w:div w:id="665010398">
      <w:bodyDiv w:val="1"/>
      <w:marLeft w:val="0"/>
      <w:marRight w:val="0"/>
      <w:marTop w:val="0"/>
      <w:marBottom w:val="0"/>
      <w:divBdr>
        <w:top w:val="none" w:sz="0" w:space="0" w:color="auto"/>
        <w:left w:val="none" w:sz="0" w:space="0" w:color="auto"/>
        <w:bottom w:val="none" w:sz="0" w:space="0" w:color="auto"/>
        <w:right w:val="none" w:sz="0" w:space="0" w:color="auto"/>
      </w:divBdr>
    </w:div>
    <w:div w:id="665934440">
      <w:bodyDiv w:val="1"/>
      <w:marLeft w:val="0"/>
      <w:marRight w:val="0"/>
      <w:marTop w:val="0"/>
      <w:marBottom w:val="0"/>
      <w:divBdr>
        <w:top w:val="none" w:sz="0" w:space="0" w:color="auto"/>
        <w:left w:val="none" w:sz="0" w:space="0" w:color="auto"/>
        <w:bottom w:val="none" w:sz="0" w:space="0" w:color="auto"/>
        <w:right w:val="none" w:sz="0" w:space="0" w:color="auto"/>
      </w:divBdr>
    </w:div>
    <w:div w:id="680547867">
      <w:bodyDiv w:val="1"/>
      <w:marLeft w:val="0"/>
      <w:marRight w:val="0"/>
      <w:marTop w:val="0"/>
      <w:marBottom w:val="0"/>
      <w:divBdr>
        <w:top w:val="none" w:sz="0" w:space="0" w:color="auto"/>
        <w:left w:val="none" w:sz="0" w:space="0" w:color="auto"/>
        <w:bottom w:val="none" w:sz="0" w:space="0" w:color="auto"/>
        <w:right w:val="none" w:sz="0" w:space="0" w:color="auto"/>
      </w:divBdr>
    </w:div>
    <w:div w:id="690689101">
      <w:bodyDiv w:val="1"/>
      <w:marLeft w:val="0"/>
      <w:marRight w:val="0"/>
      <w:marTop w:val="0"/>
      <w:marBottom w:val="0"/>
      <w:divBdr>
        <w:top w:val="none" w:sz="0" w:space="0" w:color="auto"/>
        <w:left w:val="none" w:sz="0" w:space="0" w:color="auto"/>
        <w:bottom w:val="none" w:sz="0" w:space="0" w:color="auto"/>
        <w:right w:val="none" w:sz="0" w:space="0" w:color="auto"/>
      </w:divBdr>
    </w:div>
    <w:div w:id="696471752">
      <w:bodyDiv w:val="1"/>
      <w:marLeft w:val="0"/>
      <w:marRight w:val="0"/>
      <w:marTop w:val="0"/>
      <w:marBottom w:val="0"/>
      <w:divBdr>
        <w:top w:val="none" w:sz="0" w:space="0" w:color="auto"/>
        <w:left w:val="none" w:sz="0" w:space="0" w:color="auto"/>
        <w:bottom w:val="none" w:sz="0" w:space="0" w:color="auto"/>
        <w:right w:val="none" w:sz="0" w:space="0" w:color="auto"/>
      </w:divBdr>
    </w:div>
    <w:div w:id="714158999">
      <w:bodyDiv w:val="1"/>
      <w:marLeft w:val="0"/>
      <w:marRight w:val="0"/>
      <w:marTop w:val="0"/>
      <w:marBottom w:val="0"/>
      <w:divBdr>
        <w:top w:val="none" w:sz="0" w:space="0" w:color="auto"/>
        <w:left w:val="none" w:sz="0" w:space="0" w:color="auto"/>
        <w:bottom w:val="none" w:sz="0" w:space="0" w:color="auto"/>
        <w:right w:val="none" w:sz="0" w:space="0" w:color="auto"/>
      </w:divBdr>
    </w:div>
    <w:div w:id="719482433">
      <w:bodyDiv w:val="1"/>
      <w:marLeft w:val="0"/>
      <w:marRight w:val="0"/>
      <w:marTop w:val="0"/>
      <w:marBottom w:val="0"/>
      <w:divBdr>
        <w:top w:val="none" w:sz="0" w:space="0" w:color="auto"/>
        <w:left w:val="none" w:sz="0" w:space="0" w:color="auto"/>
        <w:bottom w:val="none" w:sz="0" w:space="0" w:color="auto"/>
        <w:right w:val="none" w:sz="0" w:space="0" w:color="auto"/>
      </w:divBdr>
    </w:div>
    <w:div w:id="728309240">
      <w:bodyDiv w:val="1"/>
      <w:marLeft w:val="0"/>
      <w:marRight w:val="0"/>
      <w:marTop w:val="0"/>
      <w:marBottom w:val="0"/>
      <w:divBdr>
        <w:top w:val="none" w:sz="0" w:space="0" w:color="auto"/>
        <w:left w:val="none" w:sz="0" w:space="0" w:color="auto"/>
        <w:bottom w:val="none" w:sz="0" w:space="0" w:color="auto"/>
        <w:right w:val="none" w:sz="0" w:space="0" w:color="auto"/>
      </w:divBdr>
    </w:div>
    <w:div w:id="734546729">
      <w:bodyDiv w:val="1"/>
      <w:marLeft w:val="0"/>
      <w:marRight w:val="0"/>
      <w:marTop w:val="0"/>
      <w:marBottom w:val="0"/>
      <w:divBdr>
        <w:top w:val="none" w:sz="0" w:space="0" w:color="auto"/>
        <w:left w:val="none" w:sz="0" w:space="0" w:color="auto"/>
        <w:bottom w:val="none" w:sz="0" w:space="0" w:color="auto"/>
        <w:right w:val="none" w:sz="0" w:space="0" w:color="auto"/>
      </w:divBdr>
    </w:div>
    <w:div w:id="751775066">
      <w:bodyDiv w:val="1"/>
      <w:marLeft w:val="0"/>
      <w:marRight w:val="0"/>
      <w:marTop w:val="0"/>
      <w:marBottom w:val="0"/>
      <w:divBdr>
        <w:top w:val="none" w:sz="0" w:space="0" w:color="auto"/>
        <w:left w:val="none" w:sz="0" w:space="0" w:color="auto"/>
        <w:bottom w:val="none" w:sz="0" w:space="0" w:color="auto"/>
        <w:right w:val="none" w:sz="0" w:space="0" w:color="auto"/>
      </w:divBdr>
    </w:div>
    <w:div w:id="761727283">
      <w:bodyDiv w:val="1"/>
      <w:marLeft w:val="0"/>
      <w:marRight w:val="0"/>
      <w:marTop w:val="0"/>
      <w:marBottom w:val="0"/>
      <w:divBdr>
        <w:top w:val="none" w:sz="0" w:space="0" w:color="auto"/>
        <w:left w:val="none" w:sz="0" w:space="0" w:color="auto"/>
        <w:bottom w:val="none" w:sz="0" w:space="0" w:color="auto"/>
        <w:right w:val="none" w:sz="0" w:space="0" w:color="auto"/>
      </w:divBdr>
    </w:div>
    <w:div w:id="773329417">
      <w:bodyDiv w:val="1"/>
      <w:marLeft w:val="0"/>
      <w:marRight w:val="0"/>
      <w:marTop w:val="0"/>
      <w:marBottom w:val="0"/>
      <w:divBdr>
        <w:top w:val="none" w:sz="0" w:space="0" w:color="auto"/>
        <w:left w:val="none" w:sz="0" w:space="0" w:color="auto"/>
        <w:bottom w:val="none" w:sz="0" w:space="0" w:color="auto"/>
        <w:right w:val="none" w:sz="0" w:space="0" w:color="auto"/>
      </w:divBdr>
    </w:div>
    <w:div w:id="778380655">
      <w:bodyDiv w:val="1"/>
      <w:marLeft w:val="0"/>
      <w:marRight w:val="0"/>
      <w:marTop w:val="0"/>
      <w:marBottom w:val="0"/>
      <w:divBdr>
        <w:top w:val="none" w:sz="0" w:space="0" w:color="auto"/>
        <w:left w:val="none" w:sz="0" w:space="0" w:color="auto"/>
        <w:bottom w:val="none" w:sz="0" w:space="0" w:color="auto"/>
        <w:right w:val="none" w:sz="0" w:space="0" w:color="auto"/>
      </w:divBdr>
    </w:div>
    <w:div w:id="802238009">
      <w:bodyDiv w:val="1"/>
      <w:marLeft w:val="0"/>
      <w:marRight w:val="0"/>
      <w:marTop w:val="0"/>
      <w:marBottom w:val="0"/>
      <w:divBdr>
        <w:top w:val="none" w:sz="0" w:space="0" w:color="auto"/>
        <w:left w:val="none" w:sz="0" w:space="0" w:color="auto"/>
        <w:bottom w:val="none" w:sz="0" w:space="0" w:color="auto"/>
        <w:right w:val="none" w:sz="0" w:space="0" w:color="auto"/>
      </w:divBdr>
    </w:div>
    <w:div w:id="828133273">
      <w:bodyDiv w:val="1"/>
      <w:marLeft w:val="0"/>
      <w:marRight w:val="0"/>
      <w:marTop w:val="0"/>
      <w:marBottom w:val="0"/>
      <w:divBdr>
        <w:top w:val="none" w:sz="0" w:space="0" w:color="auto"/>
        <w:left w:val="none" w:sz="0" w:space="0" w:color="auto"/>
        <w:bottom w:val="none" w:sz="0" w:space="0" w:color="auto"/>
        <w:right w:val="none" w:sz="0" w:space="0" w:color="auto"/>
      </w:divBdr>
    </w:div>
    <w:div w:id="835071479">
      <w:bodyDiv w:val="1"/>
      <w:marLeft w:val="0"/>
      <w:marRight w:val="0"/>
      <w:marTop w:val="0"/>
      <w:marBottom w:val="0"/>
      <w:divBdr>
        <w:top w:val="none" w:sz="0" w:space="0" w:color="auto"/>
        <w:left w:val="none" w:sz="0" w:space="0" w:color="auto"/>
        <w:bottom w:val="none" w:sz="0" w:space="0" w:color="auto"/>
        <w:right w:val="none" w:sz="0" w:space="0" w:color="auto"/>
      </w:divBdr>
    </w:div>
    <w:div w:id="835146968">
      <w:bodyDiv w:val="1"/>
      <w:marLeft w:val="0"/>
      <w:marRight w:val="0"/>
      <w:marTop w:val="0"/>
      <w:marBottom w:val="0"/>
      <w:divBdr>
        <w:top w:val="none" w:sz="0" w:space="0" w:color="auto"/>
        <w:left w:val="none" w:sz="0" w:space="0" w:color="auto"/>
        <w:bottom w:val="none" w:sz="0" w:space="0" w:color="auto"/>
        <w:right w:val="none" w:sz="0" w:space="0" w:color="auto"/>
      </w:divBdr>
    </w:div>
    <w:div w:id="847602373">
      <w:bodyDiv w:val="1"/>
      <w:marLeft w:val="0"/>
      <w:marRight w:val="0"/>
      <w:marTop w:val="0"/>
      <w:marBottom w:val="0"/>
      <w:divBdr>
        <w:top w:val="none" w:sz="0" w:space="0" w:color="auto"/>
        <w:left w:val="none" w:sz="0" w:space="0" w:color="auto"/>
        <w:bottom w:val="none" w:sz="0" w:space="0" w:color="auto"/>
        <w:right w:val="none" w:sz="0" w:space="0" w:color="auto"/>
      </w:divBdr>
    </w:div>
    <w:div w:id="849679445">
      <w:bodyDiv w:val="1"/>
      <w:marLeft w:val="0"/>
      <w:marRight w:val="0"/>
      <w:marTop w:val="0"/>
      <w:marBottom w:val="0"/>
      <w:divBdr>
        <w:top w:val="none" w:sz="0" w:space="0" w:color="auto"/>
        <w:left w:val="none" w:sz="0" w:space="0" w:color="auto"/>
        <w:bottom w:val="none" w:sz="0" w:space="0" w:color="auto"/>
        <w:right w:val="none" w:sz="0" w:space="0" w:color="auto"/>
      </w:divBdr>
    </w:div>
    <w:div w:id="877470758">
      <w:bodyDiv w:val="1"/>
      <w:marLeft w:val="0"/>
      <w:marRight w:val="0"/>
      <w:marTop w:val="0"/>
      <w:marBottom w:val="0"/>
      <w:divBdr>
        <w:top w:val="none" w:sz="0" w:space="0" w:color="auto"/>
        <w:left w:val="none" w:sz="0" w:space="0" w:color="auto"/>
        <w:bottom w:val="none" w:sz="0" w:space="0" w:color="auto"/>
        <w:right w:val="none" w:sz="0" w:space="0" w:color="auto"/>
      </w:divBdr>
    </w:div>
    <w:div w:id="891959378">
      <w:bodyDiv w:val="1"/>
      <w:marLeft w:val="0"/>
      <w:marRight w:val="0"/>
      <w:marTop w:val="0"/>
      <w:marBottom w:val="0"/>
      <w:divBdr>
        <w:top w:val="none" w:sz="0" w:space="0" w:color="auto"/>
        <w:left w:val="none" w:sz="0" w:space="0" w:color="auto"/>
        <w:bottom w:val="none" w:sz="0" w:space="0" w:color="auto"/>
        <w:right w:val="none" w:sz="0" w:space="0" w:color="auto"/>
      </w:divBdr>
    </w:div>
    <w:div w:id="909921578">
      <w:bodyDiv w:val="1"/>
      <w:marLeft w:val="0"/>
      <w:marRight w:val="0"/>
      <w:marTop w:val="0"/>
      <w:marBottom w:val="0"/>
      <w:divBdr>
        <w:top w:val="none" w:sz="0" w:space="0" w:color="auto"/>
        <w:left w:val="none" w:sz="0" w:space="0" w:color="auto"/>
        <w:bottom w:val="none" w:sz="0" w:space="0" w:color="auto"/>
        <w:right w:val="none" w:sz="0" w:space="0" w:color="auto"/>
      </w:divBdr>
    </w:div>
    <w:div w:id="919144604">
      <w:bodyDiv w:val="1"/>
      <w:marLeft w:val="0"/>
      <w:marRight w:val="0"/>
      <w:marTop w:val="0"/>
      <w:marBottom w:val="0"/>
      <w:divBdr>
        <w:top w:val="none" w:sz="0" w:space="0" w:color="auto"/>
        <w:left w:val="none" w:sz="0" w:space="0" w:color="auto"/>
        <w:bottom w:val="none" w:sz="0" w:space="0" w:color="auto"/>
        <w:right w:val="none" w:sz="0" w:space="0" w:color="auto"/>
      </w:divBdr>
    </w:div>
    <w:div w:id="934628975">
      <w:bodyDiv w:val="1"/>
      <w:marLeft w:val="0"/>
      <w:marRight w:val="0"/>
      <w:marTop w:val="0"/>
      <w:marBottom w:val="0"/>
      <w:divBdr>
        <w:top w:val="none" w:sz="0" w:space="0" w:color="auto"/>
        <w:left w:val="none" w:sz="0" w:space="0" w:color="auto"/>
        <w:bottom w:val="none" w:sz="0" w:space="0" w:color="auto"/>
        <w:right w:val="none" w:sz="0" w:space="0" w:color="auto"/>
      </w:divBdr>
    </w:div>
    <w:div w:id="946815735">
      <w:bodyDiv w:val="1"/>
      <w:marLeft w:val="0"/>
      <w:marRight w:val="0"/>
      <w:marTop w:val="0"/>
      <w:marBottom w:val="0"/>
      <w:divBdr>
        <w:top w:val="none" w:sz="0" w:space="0" w:color="auto"/>
        <w:left w:val="none" w:sz="0" w:space="0" w:color="auto"/>
        <w:bottom w:val="none" w:sz="0" w:space="0" w:color="auto"/>
        <w:right w:val="none" w:sz="0" w:space="0" w:color="auto"/>
      </w:divBdr>
    </w:div>
    <w:div w:id="970792968">
      <w:bodyDiv w:val="1"/>
      <w:marLeft w:val="0"/>
      <w:marRight w:val="0"/>
      <w:marTop w:val="0"/>
      <w:marBottom w:val="0"/>
      <w:divBdr>
        <w:top w:val="none" w:sz="0" w:space="0" w:color="auto"/>
        <w:left w:val="none" w:sz="0" w:space="0" w:color="auto"/>
        <w:bottom w:val="none" w:sz="0" w:space="0" w:color="auto"/>
        <w:right w:val="none" w:sz="0" w:space="0" w:color="auto"/>
      </w:divBdr>
    </w:div>
    <w:div w:id="983195305">
      <w:bodyDiv w:val="1"/>
      <w:marLeft w:val="0"/>
      <w:marRight w:val="0"/>
      <w:marTop w:val="0"/>
      <w:marBottom w:val="0"/>
      <w:divBdr>
        <w:top w:val="none" w:sz="0" w:space="0" w:color="auto"/>
        <w:left w:val="none" w:sz="0" w:space="0" w:color="auto"/>
        <w:bottom w:val="none" w:sz="0" w:space="0" w:color="auto"/>
        <w:right w:val="none" w:sz="0" w:space="0" w:color="auto"/>
      </w:divBdr>
    </w:div>
    <w:div w:id="1003703287">
      <w:bodyDiv w:val="1"/>
      <w:marLeft w:val="0"/>
      <w:marRight w:val="0"/>
      <w:marTop w:val="0"/>
      <w:marBottom w:val="0"/>
      <w:divBdr>
        <w:top w:val="none" w:sz="0" w:space="0" w:color="auto"/>
        <w:left w:val="none" w:sz="0" w:space="0" w:color="auto"/>
        <w:bottom w:val="none" w:sz="0" w:space="0" w:color="auto"/>
        <w:right w:val="none" w:sz="0" w:space="0" w:color="auto"/>
      </w:divBdr>
    </w:div>
    <w:div w:id="1004208169">
      <w:bodyDiv w:val="1"/>
      <w:marLeft w:val="0"/>
      <w:marRight w:val="0"/>
      <w:marTop w:val="0"/>
      <w:marBottom w:val="0"/>
      <w:divBdr>
        <w:top w:val="none" w:sz="0" w:space="0" w:color="auto"/>
        <w:left w:val="none" w:sz="0" w:space="0" w:color="auto"/>
        <w:bottom w:val="none" w:sz="0" w:space="0" w:color="auto"/>
        <w:right w:val="none" w:sz="0" w:space="0" w:color="auto"/>
      </w:divBdr>
    </w:div>
    <w:div w:id="1023021693">
      <w:bodyDiv w:val="1"/>
      <w:marLeft w:val="0"/>
      <w:marRight w:val="0"/>
      <w:marTop w:val="0"/>
      <w:marBottom w:val="0"/>
      <w:divBdr>
        <w:top w:val="none" w:sz="0" w:space="0" w:color="auto"/>
        <w:left w:val="none" w:sz="0" w:space="0" w:color="auto"/>
        <w:bottom w:val="none" w:sz="0" w:space="0" w:color="auto"/>
        <w:right w:val="none" w:sz="0" w:space="0" w:color="auto"/>
      </w:divBdr>
    </w:div>
    <w:div w:id="1033267446">
      <w:bodyDiv w:val="1"/>
      <w:marLeft w:val="0"/>
      <w:marRight w:val="0"/>
      <w:marTop w:val="0"/>
      <w:marBottom w:val="0"/>
      <w:divBdr>
        <w:top w:val="none" w:sz="0" w:space="0" w:color="auto"/>
        <w:left w:val="none" w:sz="0" w:space="0" w:color="auto"/>
        <w:bottom w:val="none" w:sz="0" w:space="0" w:color="auto"/>
        <w:right w:val="none" w:sz="0" w:space="0" w:color="auto"/>
      </w:divBdr>
    </w:div>
    <w:div w:id="1035470738">
      <w:bodyDiv w:val="1"/>
      <w:marLeft w:val="0"/>
      <w:marRight w:val="0"/>
      <w:marTop w:val="0"/>
      <w:marBottom w:val="0"/>
      <w:divBdr>
        <w:top w:val="none" w:sz="0" w:space="0" w:color="auto"/>
        <w:left w:val="none" w:sz="0" w:space="0" w:color="auto"/>
        <w:bottom w:val="none" w:sz="0" w:space="0" w:color="auto"/>
        <w:right w:val="none" w:sz="0" w:space="0" w:color="auto"/>
      </w:divBdr>
    </w:div>
    <w:div w:id="1055198661">
      <w:bodyDiv w:val="1"/>
      <w:marLeft w:val="0"/>
      <w:marRight w:val="0"/>
      <w:marTop w:val="0"/>
      <w:marBottom w:val="0"/>
      <w:divBdr>
        <w:top w:val="none" w:sz="0" w:space="0" w:color="auto"/>
        <w:left w:val="none" w:sz="0" w:space="0" w:color="auto"/>
        <w:bottom w:val="none" w:sz="0" w:space="0" w:color="auto"/>
        <w:right w:val="none" w:sz="0" w:space="0" w:color="auto"/>
      </w:divBdr>
    </w:div>
    <w:div w:id="1057708202">
      <w:bodyDiv w:val="1"/>
      <w:marLeft w:val="0"/>
      <w:marRight w:val="0"/>
      <w:marTop w:val="0"/>
      <w:marBottom w:val="0"/>
      <w:divBdr>
        <w:top w:val="none" w:sz="0" w:space="0" w:color="auto"/>
        <w:left w:val="none" w:sz="0" w:space="0" w:color="auto"/>
        <w:bottom w:val="none" w:sz="0" w:space="0" w:color="auto"/>
        <w:right w:val="none" w:sz="0" w:space="0" w:color="auto"/>
      </w:divBdr>
    </w:div>
    <w:div w:id="1060401368">
      <w:bodyDiv w:val="1"/>
      <w:marLeft w:val="0"/>
      <w:marRight w:val="0"/>
      <w:marTop w:val="0"/>
      <w:marBottom w:val="0"/>
      <w:divBdr>
        <w:top w:val="none" w:sz="0" w:space="0" w:color="auto"/>
        <w:left w:val="none" w:sz="0" w:space="0" w:color="auto"/>
        <w:bottom w:val="none" w:sz="0" w:space="0" w:color="auto"/>
        <w:right w:val="none" w:sz="0" w:space="0" w:color="auto"/>
      </w:divBdr>
    </w:div>
    <w:div w:id="1080635317">
      <w:bodyDiv w:val="1"/>
      <w:marLeft w:val="0"/>
      <w:marRight w:val="0"/>
      <w:marTop w:val="0"/>
      <w:marBottom w:val="0"/>
      <w:divBdr>
        <w:top w:val="none" w:sz="0" w:space="0" w:color="auto"/>
        <w:left w:val="none" w:sz="0" w:space="0" w:color="auto"/>
        <w:bottom w:val="none" w:sz="0" w:space="0" w:color="auto"/>
        <w:right w:val="none" w:sz="0" w:space="0" w:color="auto"/>
      </w:divBdr>
    </w:div>
    <w:div w:id="1081679468">
      <w:bodyDiv w:val="1"/>
      <w:marLeft w:val="0"/>
      <w:marRight w:val="0"/>
      <w:marTop w:val="0"/>
      <w:marBottom w:val="0"/>
      <w:divBdr>
        <w:top w:val="none" w:sz="0" w:space="0" w:color="auto"/>
        <w:left w:val="none" w:sz="0" w:space="0" w:color="auto"/>
        <w:bottom w:val="none" w:sz="0" w:space="0" w:color="auto"/>
        <w:right w:val="none" w:sz="0" w:space="0" w:color="auto"/>
      </w:divBdr>
    </w:div>
    <w:div w:id="1086808463">
      <w:bodyDiv w:val="1"/>
      <w:marLeft w:val="0"/>
      <w:marRight w:val="0"/>
      <w:marTop w:val="0"/>
      <w:marBottom w:val="0"/>
      <w:divBdr>
        <w:top w:val="none" w:sz="0" w:space="0" w:color="auto"/>
        <w:left w:val="none" w:sz="0" w:space="0" w:color="auto"/>
        <w:bottom w:val="none" w:sz="0" w:space="0" w:color="auto"/>
        <w:right w:val="none" w:sz="0" w:space="0" w:color="auto"/>
      </w:divBdr>
    </w:div>
    <w:div w:id="1091119577">
      <w:bodyDiv w:val="1"/>
      <w:marLeft w:val="0"/>
      <w:marRight w:val="0"/>
      <w:marTop w:val="0"/>
      <w:marBottom w:val="0"/>
      <w:divBdr>
        <w:top w:val="none" w:sz="0" w:space="0" w:color="auto"/>
        <w:left w:val="none" w:sz="0" w:space="0" w:color="auto"/>
        <w:bottom w:val="none" w:sz="0" w:space="0" w:color="auto"/>
        <w:right w:val="none" w:sz="0" w:space="0" w:color="auto"/>
      </w:divBdr>
    </w:div>
    <w:div w:id="1093745963">
      <w:bodyDiv w:val="1"/>
      <w:marLeft w:val="0"/>
      <w:marRight w:val="0"/>
      <w:marTop w:val="0"/>
      <w:marBottom w:val="0"/>
      <w:divBdr>
        <w:top w:val="none" w:sz="0" w:space="0" w:color="auto"/>
        <w:left w:val="none" w:sz="0" w:space="0" w:color="auto"/>
        <w:bottom w:val="none" w:sz="0" w:space="0" w:color="auto"/>
        <w:right w:val="none" w:sz="0" w:space="0" w:color="auto"/>
      </w:divBdr>
    </w:div>
    <w:div w:id="1105030632">
      <w:bodyDiv w:val="1"/>
      <w:marLeft w:val="0"/>
      <w:marRight w:val="0"/>
      <w:marTop w:val="0"/>
      <w:marBottom w:val="0"/>
      <w:divBdr>
        <w:top w:val="none" w:sz="0" w:space="0" w:color="auto"/>
        <w:left w:val="none" w:sz="0" w:space="0" w:color="auto"/>
        <w:bottom w:val="none" w:sz="0" w:space="0" w:color="auto"/>
        <w:right w:val="none" w:sz="0" w:space="0" w:color="auto"/>
      </w:divBdr>
    </w:div>
    <w:div w:id="1139034366">
      <w:bodyDiv w:val="1"/>
      <w:marLeft w:val="0"/>
      <w:marRight w:val="0"/>
      <w:marTop w:val="0"/>
      <w:marBottom w:val="0"/>
      <w:divBdr>
        <w:top w:val="none" w:sz="0" w:space="0" w:color="auto"/>
        <w:left w:val="none" w:sz="0" w:space="0" w:color="auto"/>
        <w:bottom w:val="none" w:sz="0" w:space="0" w:color="auto"/>
        <w:right w:val="none" w:sz="0" w:space="0" w:color="auto"/>
      </w:divBdr>
    </w:div>
    <w:div w:id="1144733526">
      <w:bodyDiv w:val="1"/>
      <w:marLeft w:val="0"/>
      <w:marRight w:val="0"/>
      <w:marTop w:val="0"/>
      <w:marBottom w:val="0"/>
      <w:divBdr>
        <w:top w:val="none" w:sz="0" w:space="0" w:color="auto"/>
        <w:left w:val="none" w:sz="0" w:space="0" w:color="auto"/>
        <w:bottom w:val="none" w:sz="0" w:space="0" w:color="auto"/>
        <w:right w:val="none" w:sz="0" w:space="0" w:color="auto"/>
      </w:divBdr>
    </w:div>
    <w:div w:id="1146317320">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180506263">
      <w:bodyDiv w:val="1"/>
      <w:marLeft w:val="0"/>
      <w:marRight w:val="0"/>
      <w:marTop w:val="0"/>
      <w:marBottom w:val="0"/>
      <w:divBdr>
        <w:top w:val="none" w:sz="0" w:space="0" w:color="auto"/>
        <w:left w:val="none" w:sz="0" w:space="0" w:color="auto"/>
        <w:bottom w:val="none" w:sz="0" w:space="0" w:color="auto"/>
        <w:right w:val="none" w:sz="0" w:space="0" w:color="auto"/>
      </w:divBdr>
    </w:div>
    <w:div w:id="1238173517">
      <w:bodyDiv w:val="1"/>
      <w:marLeft w:val="0"/>
      <w:marRight w:val="0"/>
      <w:marTop w:val="0"/>
      <w:marBottom w:val="0"/>
      <w:divBdr>
        <w:top w:val="none" w:sz="0" w:space="0" w:color="auto"/>
        <w:left w:val="none" w:sz="0" w:space="0" w:color="auto"/>
        <w:bottom w:val="none" w:sz="0" w:space="0" w:color="auto"/>
        <w:right w:val="none" w:sz="0" w:space="0" w:color="auto"/>
      </w:divBdr>
    </w:div>
    <w:div w:id="1241410643">
      <w:bodyDiv w:val="1"/>
      <w:marLeft w:val="0"/>
      <w:marRight w:val="0"/>
      <w:marTop w:val="0"/>
      <w:marBottom w:val="0"/>
      <w:divBdr>
        <w:top w:val="none" w:sz="0" w:space="0" w:color="auto"/>
        <w:left w:val="none" w:sz="0" w:space="0" w:color="auto"/>
        <w:bottom w:val="none" w:sz="0" w:space="0" w:color="auto"/>
        <w:right w:val="none" w:sz="0" w:space="0" w:color="auto"/>
      </w:divBdr>
    </w:div>
    <w:div w:id="1244149527">
      <w:bodyDiv w:val="1"/>
      <w:marLeft w:val="0"/>
      <w:marRight w:val="0"/>
      <w:marTop w:val="0"/>
      <w:marBottom w:val="0"/>
      <w:divBdr>
        <w:top w:val="none" w:sz="0" w:space="0" w:color="auto"/>
        <w:left w:val="none" w:sz="0" w:space="0" w:color="auto"/>
        <w:bottom w:val="none" w:sz="0" w:space="0" w:color="auto"/>
        <w:right w:val="none" w:sz="0" w:space="0" w:color="auto"/>
      </w:divBdr>
    </w:div>
    <w:div w:id="1251698252">
      <w:bodyDiv w:val="1"/>
      <w:marLeft w:val="0"/>
      <w:marRight w:val="0"/>
      <w:marTop w:val="0"/>
      <w:marBottom w:val="0"/>
      <w:divBdr>
        <w:top w:val="none" w:sz="0" w:space="0" w:color="auto"/>
        <w:left w:val="none" w:sz="0" w:space="0" w:color="auto"/>
        <w:bottom w:val="none" w:sz="0" w:space="0" w:color="auto"/>
        <w:right w:val="none" w:sz="0" w:space="0" w:color="auto"/>
      </w:divBdr>
    </w:div>
    <w:div w:id="1259750078">
      <w:bodyDiv w:val="1"/>
      <w:marLeft w:val="0"/>
      <w:marRight w:val="0"/>
      <w:marTop w:val="0"/>
      <w:marBottom w:val="0"/>
      <w:divBdr>
        <w:top w:val="none" w:sz="0" w:space="0" w:color="auto"/>
        <w:left w:val="none" w:sz="0" w:space="0" w:color="auto"/>
        <w:bottom w:val="none" w:sz="0" w:space="0" w:color="auto"/>
        <w:right w:val="none" w:sz="0" w:space="0" w:color="auto"/>
      </w:divBdr>
    </w:div>
    <w:div w:id="1260991195">
      <w:bodyDiv w:val="1"/>
      <w:marLeft w:val="0"/>
      <w:marRight w:val="0"/>
      <w:marTop w:val="0"/>
      <w:marBottom w:val="0"/>
      <w:divBdr>
        <w:top w:val="none" w:sz="0" w:space="0" w:color="auto"/>
        <w:left w:val="none" w:sz="0" w:space="0" w:color="auto"/>
        <w:bottom w:val="none" w:sz="0" w:space="0" w:color="auto"/>
        <w:right w:val="none" w:sz="0" w:space="0" w:color="auto"/>
      </w:divBdr>
    </w:div>
    <w:div w:id="1286887978">
      <w:bodyDiv w:val="1"/>
      <w:marLeft w:val="0"/>
      <w:marRight w:val="0"/>
      <w:marTop w:val="0"/>
      <w:marBottom w:val="0"/>
      <w:divBdr>
        <w:top w:val="none" w:sz="0" w:space="0" w:color="auto"/>
        <w:left w:val="none" w:sz="0" w:space="0" w:color="auto"/>
        <w:bottom w:val="none" w:sz="0" w:space="0" w:color="auto"/>
        <w:right w:val="none" w:sz="0" w:space="0" w:color="auto"/>
      </w:divBdr>
    </w:div>
    <w:div w:id="1289507091">
      <w:bodyDiv w:val="1"/>
      <w:marLeft w:val="0"/>
      <w:marRight w:val="0"/>
      <w:marTop w:val="0"/>
      <w:marBottom w:val="0"/>
      <w:divBdr>
        <w:top w:val="none" w:sz="0" w:space="0" w:color="auto"/>
        <w:left w:val="none" w:sz="0" w:space="0" w:color="auto"/>
        <w:bottom w:val="none" w:sz="0" w:space="0" w:color="auto"/>
        <w:right w:val="none" w:sz="0" w:space="0" w:color="auto"/>
      </w:divBdr>
    </w:div>
    <w:div w:id="1304121478">
      <w:bodyDiv w:val="1"/>
      <w:marLeft w:val="0"/>
      <w:marRight w:val="0"/>
      <w:marTop w:val="0"/>
      <w:marBottom w:val="0"/>
      <w:divBdr>
        <w:top w:val="none" w:sz="0" w:space="0" w:color="auto"/>
        <w:left w:val="none" w:sz="0" w:space="0" w:color="auto"/>
        <w:bottom w:val="none" w:sz="0" w:space="0" w:color="auto"/>
        <w:right w:val="none" w:sz="0" w:space="0" w:color="auto"/>
      </w:divBdr>
    </w:div>
    <w:div w:id="1316569744">
      <w:bodyDiv w:val="1"/>
      <w:marLeft w:val="0"/>
      <w:marRight w:val="0"/>
      <w:marTop w:val="0"/>
      <w:marBottom w:val="0"/>
      <w:divBdr>
        <w:top w:val="none" w:sz="0" w:space="0" w:color="auto"/>
        <w:left w:val="none" w:sz="0" w:space="0" w:color="auto"/>
        <w:bottom w:val="none" w:sz="0" w:space="0" w:color="auto"/>
        <w:right w:val="none" w:sz="0" w:space="0" w:color="auto"/>
      </w:divBdr>
    </w:div>
    <w:div w:id="1317029698">
      <w:bodyDiv w:val="1"/>
      <w:marLeft w:val="0"/>
      <w:marRight w:val="0"/>
      <w:marTop w:val="0"/>
      <w:marBottom w:val="0"/>
      <w:divBdr>
        <w:top w:val="none" w:sz="0" w:space="0" w:color="auto"/>
        <w:left w:val="none" w:sz="0" w:space="0" w:color="auto"/>
        <w:bottom w:val="none" w:sz="0" w:space="0" w:color="auto"/>
        <w:right w:val="none" w:sz="0" w:space="0" w:color="auto"/>
      </w:divBdr>
    </w:div>
    <w:div w:id="1336035444">
      <w:bodyDiv w:val="1"/>
      <w:marLeft w:val="0"/>
      <w:marRight w:val="0"/>
      <w:marTop w:val="0"/>
      <w:marBottom w:val="0"/>
      <w:divBdr>
        <w:top w:val="none" w:sz="0" w:space="0" w:color="auto"/>
        <w:left w:val="none" w:sz="0" w:space="0" w:color="auto"/>
        <w:bottom w:val="none" w:sz="0" w:space="0" w:color="auto"/>
        <w:right w:val="none" w:sz="0" w:space="0" w:color="auto"/>
      </w:divBdr>
    </w:div>
    <w:div w:id="1338383490">
      <w:bodyDiv w:val="1"/>
      <w:marLeft w:val="0"/>
      <w:marRight w:val="0"/>
      <w:marTop w:val="0"/>
      <w:marBottom w:val="0"/>
      <w:divBdr>
        <w:top w:val="none" w:sz="0" w:space="0" w:color="auto"/>
        <w:left w:val="none" w:sz="0" w:space="0" w:color="auto"/>
        <w:bottom w:val="none" w:sz="0" w:space="0" w:color="auto"/>
        <w:right w:val="none" w:sz="0" w:space="0" w:color="auto"/>
      </w:divBdr>
    </w:div>
    <w:div w:id="1352147336">
      <w:bodyDiv w:val="1"/>
      <w:marLeft w:val="0"/>
      <w:marRight w:val="0"/>
      <w:marTop w:val="0"/>
      <w:marBottom w:val="0"/>
      <w:divBdr>
        <w:top w:val="none" w:sz="0" w:space="0" w:color="auto"/>
        <w:left w:val="none" w:sz="0" w:space="0" w:color="auto"/>
        <w:bottom w:val="none" w:sz="0" w:space="0" w:color="auto"/>
        <w:right w:val="none" w:sz="0" w:space="0" w:color="auto"/>
      </w:divBdr>
    </w:div>
    <w:div w:id="1369062737">
      <w:bodyDiv w:val="1"/>
      <w:marLeft w:val="0"/>
      <w:marRight w:val="0"/>
      <w:marTop w:val="0"/>
      <w:marBottom w:val="0"/>
      <w:divBdr>
        <w:top w:val="none" w:sz="0" w:space="0" w:color="auto"/>
        <w:left w:val="none" w:sz="0" w:space="0" w:color="auto"/>
        <w:bottom w:val="none" w:sz="0" w:space="0" w:color="auto"/>
        <w:right w:val="none" w:sz="0" w:space="0" w:color="auto"/>
      </w:divBdr>
    </w:div>
    <w:div w:id="1388263172">
      <w:bodyDiv w:val="1"/>
      <w:marLeft w:val="0"/>
      <w:marRight w:val="0"/>
      <w:marTop w:val="0"/>
      <w:marBottom w:val="0"/>
      <w:divBdr>
        <w:top w:val="none" w:sz="0" w:space="0" w:color="auto"/>
        <w:left w:val="none" w:sz="0" w:space="0" w:color="auto"/>
        <w:bottom w:val="none" w:sz="0" w:space="0" w:color="auto"/>
        <w:right w:val="none" w:sz="0" w:space="0" w:color="auto"/>
      </w:divBdr>
    </w:div>
    <w:div w:id="1405759070">
      <w:bodyDiv w:val="1"/>
      <w:marLeft w:val="0"/>
      <w:marRight w:val="0"/>
      <w:marTop w:val="0"/>
      <w:marBottom w:val="0"/>
      <w:divBdr>
        <w:top w:val="none" w:sz="0" w:space="0" w:color="auto"/>
        <w:left w:val="none" w:sz="0" w:space="0" w:color="auto"/>
        <w:bottom w:val="none" w:sz="0" w:space="0" w:color="auto"/>
        <w:right w:val="none" w:sz="0" w:space="0" w:color="auto"/>
      </w:divBdr>
    </w:div>
    <w:div w:id="1424957364">
      <w:bodyDiv w:val="1"/>
      <w:marLeft w:val="0"/>
      <w:marRight w:val="0"/>
      <w:marTop w:val="0"/>
      <w:marBottom w:val="0"/>
      <w:divBdr>
        <w:top w:val="none" w:sz="0" w:space="0" w:color="auto"/>
        <w:left w:val="none" w:sz="0" w:space="0" w:color="auto"/>
        <w:bottom w:val="none" w:sz="0" w:space="0" w:color="auto"/>
        <w:right w:val="none" w:sz="0" w:space="0" w:color="auto"/>
      </w:divBdr>
    </w:div>
    <w:div w:id="1435326344">
      <w:bodyDiv w:val="1"/>
      <w:marLeft w:val="0"/>
      <w:marRight w:val="0"/>
      <w:marTop w:val="0"/>
      <w:marBottom w:val="0"/>
      <w:divBdr>
        <w:top w:val="none" w:sz="0" w:space="0" w:color="auto"/>
        <w:left w:val="none" w:sz="0" w:space="0" w:color="auto"/>
        <w:bottom w:val="none" w:sz="0" w:space="0" w:color="auto"/>
        <w:right w:val="none" w:sz="0" w:space="0" w:color="auto"/>
      </w:divBdr>
    </w:div>
    <w:div w:id="1438669965">
      <w:bodyDiv w:val="1"/>
      <w:marLeft w:val="0"/>
      <w:marRight w:val="0"/>
      <w:marTop w:val="0"/>
      <w:marBottom w:val="0"/>
      <w:divBdr>
        <w:top w:val="none" w:sz="0" w:space="0" w:color="auto"/>
        <w:left w:val="none" w:sz="0" w:space="0" w:color="auto"/>
        <w:bottom w:val="none" w:sz="0" w:space="0" w:color="auto"/>
        <w:right w:val="none" w:sz="0" w:space="0" w:color="auto"/>
      </w:divBdr>
    </w:div>
    <w:div w:id="1443769659">
      <w:bodyDiv w:val="1"/>
      <w:marLeft w:val="0"/>
      <w:marRight w:val="0"/>
      <w:marTop w:val="0"/>
      <w:marBottom w:val="0"/>
      <w:divBdr>
        <w:top w:val="none" w:sz="0" w:space="0" w:color="auto"/>
        <w:left w:val="none" w:sz="0" w:space="0" w:color="auto"/>
        <w:bottom w:val="none" w:sz="0" w:space="0" w:color="auto"/>
        <w:right w:val="none" w:sz="0" w:space="0" w:color="auto"/>
      </w:divBdr>
    </w:div>
    <w:div w:id="1448430590">
      <w:bodyDiv w:val="1"/>
      <w:marLeft w:val="0"/>
      <w:marRight w:val="0"/>
      <w:marTop w:val="0"/>
      <w:marBottom w:val="0"/>
      <w:divBdr>
        <w:top w:val="none" w:sz="0" w:space="0" w:color="auto"/>
        <w:left w:val="none" w:sz="0" w:space="0" w:color="auto"/>
        <w:bottom w:val="none" w:sz="0" w:space="0" w:color="auto"/>
        <w:right w:val="none" w:sz="0" w:space="0" w:color="auto"/>
      </w:divBdr>
    </w:div>
    <w:div w:id="1458136606">
      <w:bodyDiv w:val="1"/>
      <w:marLeft w:val="0"/>
      <w:marRight w:val="0"/>
      <w:marTop w:val="0"/>
      <w:marBottom w:val="0"/>
      <w:divBdr>
        <w:top w:val="none" w:sz="0" w:space="0" w:color="auto"/>
        <w:left w:val="none" w:sz="0" w:space="0" w:color="auto"/>
        <w:bottom w:val="none" w:sz="0" w:space="0" w:color="auto"/>
        <w:right w:val="none" w:sz="0" w:space="0" w:color="auto"/>
      </w:divBdr>
    </w:div>
    <w:div w:id="1461533948">
      <w:bodyDiv w:val="1"/>
      <w:marLeft w:val="0"/>
      <w:marRight w:val="0"/>
      <w:marTop w:val="0"/>
      <w:marBottom w:val="0"/>
      <w:divBdr>
        <w:top w:val="none" w:sz="0" w:space="0" w:color="auto"/>
        <w:left w:val="none" w:sz="0" w:space="0" w:color="auto"/>
        <w:bottom w:val="none" w:sz="0" w:space="0" w:color="auto"/>
        <w:right w:val="none" w:sz="0" w:space="0" w:color="auto"/>
      </w:divBdr>
    </w:div>
    <w:div w:id="1473446872">
      <w:bodyDiv w:val="1"/>
      <w:marLeft w:val="0"/>
      <w:marRight w:val="0"/>
      <w:marTop w:val="0"/>
      <w:marBottom w:val="0"/>
      <w:divBdr>
        <w:top w:val="none" w:sz="0" w:space="0" w:color="auto"/>
        <w:left w:val="none" w:sz="0" w:space="0" w:color="auto"/>
        <w:bottom w:val="none" w:sz="0" w:space="0" w:color="auto"/>
        <w:right w:val="none" w:sz="0" w:space="0" w:color="auto"/>
      </w:divBdr>
    </w:div>
    <w:div w:id="1476026975">
      <w:bodyDiv w:val="1"/>
      <w:marLeft w:val="0"/>
      <w:marRight w:val="0"/>
      <w:marTop w:val="0"/>
      <w:marBottom w:val="0"/>
      <w:divBdr>
        <w:top w:val="none" w:sz="0" w:space="0" w:color="auto"/>
        <w:left w:val="none" w:sz="0" w:space="0" w:color="auto"/>
        <w:bottom w:val="none" w:sz="0" w:space="0" w:color="auto"/>
        <w:right w:val="none" w:sz="0" w:space="0" w:color="auto"/>
      </w:divBdr>
    </w:div>
    <w:div w:id="1499883994">
      <w:bodyDiv w:val="1"/>
      <w:marLeft w:val="0"/>
      <w:marRight w:val="0"/>
      <w:marTop w:val="0"/>
      <w:marBottom w:val="0"/>
      <w:divBdr>
        <w:top w:val="none" w:sz="0" w:space="0" w:color="auto"/>
        <w:left w:val="none" w:sz="0" w:space="0" w:color="auto"/>
        <w:bottom w:val="none" w:sz="0" w:space="0" w:color="auto"/>
        <w:right w:val="none" w:sz="0" w:space="0" w:color="auto"/>
      </w:divBdr>
    </w:div>
    <w:div w:id="1506087647">
      <w:bodyDiv w:val="1"/>
      <w:marLeft w:val="0"/>
      <w:marRight w:val="0"/>
      <w:marTop w:val="0"/>
      <w:marBottom w:val="0"/>
      <w:divBdr>
        <w:top w:val="none" w:sz="0" w:space="0" w:color="auto"/>
        <w:left w:val="none" w:sz="0" w:space="0" w:color="auto"/>
        <w:bottom w:val="none" w:sz="0" w:space="0" w:color="auto"/>
        <w:right w:val="none" w:sz="0" w:space="0" w:color="auto"/>
      </w:divBdr>
    </w:div>
    <w:div w:id="1508329856">
      <w:bodyDiv w:val="1"/>
      <w:marLeft w:val="0"/>
      <w:marRight w:val="0"/>
      <w:marTop w:val="0"/>
      <w:marBottom w:val="0"/>
      <w:divBdr>
        <w:top w:val="none" w:sz="0" w:space="0" w:color="auto"/>
        <w:left w:val="none" w:sz="0" w:space="0" w:color="auto"/>
        <w:bottom w:val="none" w:sz="0" w:space="0" w:color="auto"/>
        <w:right w:val="none" w:sz="0" w:space="0" w:color="auto"/>
      </w:divBdr>
    </w:div>
    <w:div w:id="1518537349">
      <w:bodyDiv w:val="1"/>
      <w:marLeft w:val="0"/>
      <w:marRight w:val="0"/>
      <w:marTop w:val="0"/>
      <w:marBottom w:val="0"/>
      <w:divBdr>
        <w:top w:val="none" w:sz="0" w:space="0" w:color="auto"/>
        <w:left w:val="none" w:sz="0" w:space="0" w:color="auto"/>
        <w:bottom w:val="none" w:sz="0" w:space="0" w:color="auto"/>
        <w:right w:val="none" w:sz="0" w:space="0" w:color="auto"/>
      </w:divBdr>
    </w:div>
    <w:div w:id="1537697761">
      <w:bodyDiv w:val="1"/>
      <w:marLeft w:val="0"/>
      <w:marRight w:val="0"/>
      <w:marTop w:val="0"/>
      <w:marBottom w:val="0"/>
      <w:divBdr>
        <w:top w:val="none" w:sz="0" w:space="0" w:color="auto"/>
        <w:left w:val="none" w:sz="0" w:space="0" w:color="auto"/>
        <w:bottom w:val="none" w:sz="0" w:space="0" w:color="auto"/>
        <w:right w:val="none" w:sz="0" w:space="0" w:color="auto"/>
      </w:divBdr>
    </w:div>
    <w:div w:id="1562522892">
      <w:bodyDiv w:val="1"/>
      <w:marLeft w:val="0"/>
      <w:marRight w:val="0"/>
      <w:marTop w:val="0"/>
      <w:marBottom w:val="0"/>
      <w:divBdr>
        <w:top w:val="none" w:sz="0" w:space="0" w:color="auto"/>
        <w:left w:val="none" w:sz="0" w:space="0" w:color="auto"/>
        <w:bottom w:val="none" w:sz="0" w:space="0" w:color="auto"/>
        <w:right w:val="none" w:sz="0" w:space="0" w:color="auto"/>
      </w:divBdr>
    </w:div>
    <w:div w:id="1589583042">
      <w:bodyDiv w:val="1"/>
      <w:marLeft w:val="0"/>
      <w:marRight w:val="0"/>
      <w:marTop w:val="0"/>
      <w:marBottom w:val="0"/>
      <w:divBdr>
        <w:top w:val="none" w:sz="0" w:space="0" w:color="auto"/>
        <w:left w:val="none" w:sz="0" w:space="0" w:color="auto"/>
        <w:bottom w:val="none" w:sz="0" w:space="0" w:color="auto"/>
        <w:right w:val="none" w:sz="0" w:space="0" w:color="auto"/>
      </w:divBdr>
    </w:div>
    <w:div w:id="1601913330">
      <w:bodyDiv w:val="1"/>
      <w:marLeft w:val="0"/>
      <w:marRight w:val="0"/>
      <w:marTop w:val="0"/>
      <w:marBottom w:val="0"/>
      <w:divBdr>
        <w:top w:val="none" w:sz="0" w:space="0" w:color="auto"/>
        <w:left w:val="none" w:sz="0" w:space="0" w:color="auto"/>
        <w:bottom w:val="none" w:sz="0" w:space="0" w:color="auto"/>
        <w:right w:val="none" w:sz="0" w:space="0" w:color="auto"/>
      </w:divBdr>
    </w:div>
    <w:div w:id="1629041869">
      <w:bodyDiv w:val="1"/>
      <w:marLeft w:val="0"/>
      <w:marRight w:val="0"/>
      <w:marTop w:val="0"/>
      <w:marBottom w:val="0"/>
      <w:divBdr>
        <w:top w:val="none" w:sz="0" w:space="0" w:color="auto"/>
        <w:left w:val="none" w:sz="0" w:space="0" w:color="auto"/>
        <w:bottom w:val="none" w:sz="0" w:space="0" w:color="auto"/>
        <w:right w:val="none" w:sz="0" w:space="0" w:color="auto"/>
      </w:divBdr>
    </w:div>
    <w:div w:id="1631402748">
      <w:bodyDiv w:val="1"/>
      <w:marLeft w:val="0"/>
      <w:marRight w:val="0"/>
      <w:marTop w:val="0"/>
      <w:marBottom w:val="0"/>
      <w:divBdr>
        <w:top w:val="none" w:sz="0" w:space="0" w:color="auto"/>
        <w:left w:val="none" w:sz="0" w:space="0" w:color="auto"/>
        <w:bottom w:val="none" w:sz="0" w:space="0" w:color="auto"/>
        <w:right w:val="none" w:sz="0" w:space="0" w:color="auto"/>
      </w:divBdr>
    </w:div>
    <w:div w:id="1634672405">
      <w:bodyDiv w:val="1"/>
      <w:marLeft w:val="0"/>
      <w:marRight w:val="0"/>
      <w:marTop w:val="0"/>
      <w:marBottom w:val="0"/>
      <w:divBdr>
        <w:top w:val="none" w:sz="0" w:space="0" w:color="auto"/>
        <w:left w:val="none" w:sz="0" w:space="0" w:color="auto"/>
        <w:bottom w:val="none" w:sz="0" w:space="0" w:color="auto"/>
        <w:right w:val="none" w:sz="0" w:space="0" w:color="auto"/>
      </w:divBdr>
    </w:div>
    <w:div w:id="1651712672">
      <w:bodyDiv w:val="1"/>
      <w:marLeft w:val="0"/>
      <w:marRight w:val="0"/>
      <w:marTop w:val="0"/>
      <w:marBottom w:val="0"/>
      <w:divBdr>
        <w:top w:val="none" w:sz="0" w:space="0" w:color="auto"/>
        <w:left w:val="none" w:sz="0" w:space="0" w:color="auto"/>
        <w:bottom w:val="none" w:sz="0" w:space="0" w:color="auto"/>
        <w:right w:val="none" w:sz="0" w:space="0" w:color="auto"/>
      </w:divBdr>
    </w:div>
    <w:div w:id="1652556159">
      <w:bodyDiv w:val="1"/>
      <w:marLeft w:val="0"/>
      <w:marRight w:val="0"/>
      <w:marTop w:val="0"/>
      <w:marBottom w:val="0"/>
      <w:divBdr>
        <w:top w:val="none" w:sz="0" w:space="0" w:color="auto"/>
        <w:left w:val="none" w:sz="0" w:space="0" w:color="auto"/>
        <w:bottom w:val="none" w:sz="0" w:space="0" w:color="auto"/>
        <w:right w:val="none" w:sz="0" w:space="0" w:color="auto"/>
      </w:divBdr>
    </w:div>
    <w:div w:id="1673222143">
      <w:bodyDiv w:val="1"/>
      <w:marLeft w:val="0"/>
      <w:marRight w:val="0"/>
      <w:marTop w:val="0"/>
      <w:marBottom w:val="0"/>
      <w:divBdr>
        <w:top w:val="none" w:sz="0" w:space="0" w:color="auto"/>
        <w:left w:val="none" w:sz="0" w:space="0" w:color="auto"/>
        <w:bottom w:val="none" w:sz="0" w:space="0" w:color="auto"/>
        <w:right w:val="none" w:sz="0" w:space="0" w:color="auto"/>
      </w:divBdr>
    </w:div>
    <w:div w:id="1692953442">
      <w:bodyDiv w:val="1"/>
      <w:marLeft w:val="0"/>
      <w:marRight w:val="0"/>
      <w:marTop w:val="0"/>
      <w:marBottom w:val="0"/>
      <w:divBdr>
        <w:top w:val="none" w:sz="0" w:space="0" w:color="auto"/>
        <w:left w:val="none" w:sz="0" w:space="0" w:color="auto"/>
        <w:bottom w:val="none" w:sz="0" w:space="0" w:color="auto"/>
        <w:right w:val="none" w:sz="0" w:space="0" w:color="auto"/>
      </w:divBdr>
    </w:div>
    <w:div w:id="1699157097">
      <w:bodyDiv w:val="1"/>
      <w:marLeft w:val="0"/>
      <w:marRight w:val="0"/>
      <w:marTop w:val="0"/>
      <w:marBottom w:val="0"/>
      <w:divBdr>
        <w:top w:val="none" w:sz="0" w:space="0" w:color="auto"/>
        <w:left w:val="none" w:sz="0" w:space="0" w:color="auto"/>
        <w:bottom w:val="none" w:sz="0" w:space="0" w:color="auto"/>
        <w:right w:val="none" w:sz="0" w:space="0" w:color="auto"/>
      </w:divBdr>
    </w:div>
    <w:div w:id="1709986410">
      <w:bodyDiv w:val="1"/>
      <w:marLeft w:val="0"/>
      <w:marRight w:val="0"/>
      <w:marTop w:val="0"/>
      <w:marBottom w:val="0"/>
      <w:divBdr>
        <w:top w:val="none" w:sz="0" w:space="0" w:color="auto"/>
        <w:left w:val="none" w:sz="0" w:space="0" w:color="auto"/>
        <w:bottom w:val="none" w:sz="0" w:space="0" w:color="auto"/>
        <w:right w:val="none" w:sz="0" w:space="0" w:color="auto"/>
      </w:divBdr>
    </w:div>
    <w:div w:id="1715346746">
      <w:bodyDiv w:val="1"/>
      <w:marLeft w:val="0"/>
      <w:marRight w:val="0"/>
      <w:marTop w:val="0"/>
      <w:marBottom w:val="0"/>
      <w:divBdr>
        <w:top w:val="none" w:sz="0" w:space="0" w:color="auto"/>
        <w:left w:val="none" w:sz="0" w:space="0" w:color="auto"/>
        <w:bottom w:val="none" w:sz="0" w:space="0" w:color="auto"/>
        <w:right w:val="none" w:sz="0" w:space="0" w:color="auto"/>
      </w:divBdr>
    </w:div>
    <w:div w:id="1721443055">
      <w:bodyDiv w:val="1"/>
      <w:marLeft w:val="0"/>
      <w:marRight w:val="0"/>
      <w:marTop w:val="0"/>
      <w:marBottom w:val="0"/>
      <w:divBdr>
        <w:top w:val="none" w:sz="0" w:space="0" w:color="auto"/>
        <w:left w:val="none" w:sz="0" w:space="0" w:color="auto"/>
        <w:bottom w:val="none" w:sz="0" w:space="0" w:color="auto"/>
        <w:right w:val="none" w:sz="0" w:space="0" w:color="auto"/>
      </w:divBdr>
    </w:div>
    <w:div w:id="1740664499">
      <w:bodyDiv w:val="1"/>
      <w:marLeft w:val="0"/>
      <w:marRight w:val="0"/>
      <w:marTop w:val="0"/>
      <w:marBottom w:val="0"/>
      <w:divBdr>
        <w:top w:val="none" w:sz="0" w:space="0" w:color="auto"/>
        <w:left w:val="none" w:sz="0" w:space="0" w:color="auto"/>
        <w:bottom w:val="none" w:sz="0" w:space="0" w:color="auto"/>
        <w:right w:val="none" w:sz="0" w:space="0" w:color="auto"/>
      </w:divBdr>
    </w:div>
    <w:div w:id="1759519444">
      <w:bodyDiv w:val="1"/>
      <w:marLeft w:val="0"/>
      <w:marRight w:val="0"/>
      <w:marTop w:val="0"/>
      <w:marBottom w:val="0"/>
      <w:divBdr>
        <w:top w:val="none" w:sz="0" w:space="0" w:color="auto"/>
        <w:left w:val="none" w:sz="0" w:space="0" w:color="auto"/>
        <w:bottom w:val="none" w:sz="0" w:space="0" w:color="auto"/>
        <w:right w:val="none" w:sz="0" w:space="0" w:color="auto"/>
      </w:divBdr>
    </w:div>
    <w:div w:id="1760633476">
      <w:bodyDiv w:val="1"/>
      <w:marLeft w:val="0"/>
      <w:marRight w:val="0"/>
      <w:marTop w:val="0"/>
      <w:marBottom w:val="0"/>
      <w:divBdr>
        <w:top w:val="none" w:sz="0" w:space="0" w:color="auto"/>
        <w:left w:val="none" w:sz="0" w:space="0" w:color="auto"/>
        <w:bottom w:val="none" w:sz="0" w:space="0" w:color="auto"/>
        <w:right w:val="none" w:sz="0" w:space="0" w:color="auto"/>
      </w:divBdr>
    </w:div>
    <w:div w:id="1764496914">
      <w:bodyDiv w:val="1"/>
      <w:marLeft w:val="0"/>
      <w:marRight w:val="0"/>
      <w:marTop w:val="0"/>
      <w:marBottom w:val="0"/>
      <w:divBdr>
        <w:top w:val="none" w:sz="0" w:space="0" w:color="auto"/>
        <w:left w:val="none" w:sz="0" w:space="0" w:color="auto"/>
        <w:bottom w:val="none" w:sz="0" w:space="0" w:color="auto"/>
        <w:right w:val="none" w:sz="0" w:space="0" w:color="auto"/>
      </w:divBdr>
    </w:div>
    <w:div w:id="1773281679">
      <w:bodyDiv w:val="1"/>
      <w:marLeft w:val="0"/>
      <w:marRight w:val="0"/>
      <w:marTop w:val="0"/>
      <w:marBottom w:val="0"/>
      <w:divBdr>
        <w:top w:val="none" w:sz="0" w:space="0" w:color="auto"/>
        <w:left w:val="none" w:sz="0" w:space="0" w:color="auto"/>
        <w:bottom w:val="none" w:sz="0" w:space="0" w:color="auto"/>
        <w:right w:val="none" w:sz="0" w:space="0" w:color="auto"/>
      </w:divBdr>
    </w:div>
    <w:div w:id="1773746569">
      <w:bodyDiv w:val="1"/>
      <w:marLeft w:val="0"/>
      <w:marRight w:val="0"/>
      <w:marTop w:val="0"/>
      <w:marBottom w:val="0"/>
      <w:divBdr>
        <w:top w:val="none" w:sz="0" w:space="0" w:color="auto"/>
        <w:left w:val="none" w:sz="0" w:space="0" w:color="auto"/>
        <w:bottom w:val="none" w:sz="0" w:space="0" w:color="auto"/>
        <w:right w:val="none" w:sz="0" w:space="0" w:color="auto"/>
      </w:divBdr>
    </w:div>
    <w:div w:id="1789855662">
      <w:bodyDiv w:val="1"/>
      <w:marLeft w:val="0"/>
      <w:marRight w:val="0"/>
      <w:marTop w:val="0"/>
      <w:marBottom w:val="0"/>
      <w:divBdr>
        <w:top w:val="none" w:sz="0" w:space="0" w:color="auto"/>
        <w:left w:val="none" w:sz="0" w:space="0" w:color="auto"/>
        <w:bottom w:val="none" w:sz="0" w:space="0" w:color="auto"/>
        <w:right w:val="none" w:sz="0" w:space="0" w:color="auto"/>
      </w:divBdr>
    </w:div>
    <w:div w:id="1799688236">
      <w:bodyDiv w:val="1"/>
      <w:marLeft w:val="0"/>
      <w:marRight w:val="0"/>
      <w:marTop w:val="0"/>
      <w:marBottom w:val="0"/>
      <w:divBdr>
        <w:top w:val="none" w:sz="0" w:space="0" w:color="auto"/>
        <w:left w:val="none" w:sz="0" w:space="0" w:color="auto"/>
        <w:bottom w:val="none" w:sz="0" w:space="0" w:color="auto"/>
        <w:right w:val="none" w:sz="0" w:space="0" w:color="auto"/>
      </w:divBdr>
    </w:div>
    <w:div w:id="1819572457">
      <w:bodyDiv w:val="1"/>
      <w:marLeft w:val="0"/>
      <w:marRight w:val="0"/>
      <w:marTop w:val="0"/>
      <w:marBottom w:val="0"/>
      <w:divBdr>
        <w:top w:val="none" w:sz="0" w:space="0" w:color="auto"/>
        <w:left w:val="none" w:sz="0" w:space="0" w:color="auto"/>
        <w:bottom w:val="none" w:sz="0" w:space="0" w:color="auto"/>
        <w:right w:val="none" w:sz="0" w:space="0" w:color="auto"/>
      </w:divBdr>
    </w:div>
    <w:div w:id="1824346251">
      <w:bodyDiv w:val="1"/>
      <w:marLeft w:val="0"/>
      <w:marRight w:val="0"/>
      <w:marTop w:val="0"/>
      <w:marBottom w:val="0"/>
      <w:divBdr>
        <w:top w:val="none" w:sz="0" w:space="0" w:color="auto"/>
        <w:left w:val="none" w:sz="0" w:space="0" w:color="auto"/>
        <w:bottom w:val="none" w:sz="0" w:space="0" w:color="auto"/>
        <w:right w:val="none" w:sz="0" w:space="0" w:color="auto"/>
      </w:divBdr>
    </w:div>
    <w:div w:id="1832715585">
      <w:bodyDiv w:val="1"/>
      <w:marLeft w:val="0"/>
      <w:marRight w:val="0"/>
      <w:marTop w:val="0"/>
      <w:marBottom w:val="0"/>
      <w:divBdr>
        <w:top w:val="none" w:sz="0" w:space="0" w:color="auto"/>
        <w:left w:val="none" w:sz="0" w:space="0" w:color="auto"/>
        <w:bottom w:val="none" w:sz="0" w:space="0" w:color="auto"/>
        <w:right w:val="none" w:sz="0" w:space="0" w:color="auto"/>
      </w:divBdr>
    </w:div>
    <w:div w:id="1843277059">
      <w:bodyDiv w:val="1"/>
      <w:marLeft w:val="0"/>
      <w:marRight w:val="0"/>
      <w:marTop w:val="0"/>
      <w:marBottom w:val="0"/>
      <w:divBdr>
        <w:top w:val="none" w:sz="0" w:space="0" w:color="auto"/>
        <w:left w:val="none" w:sz="0" w:space="0" w:color="auto"/>
        <w:bottom w:val="none" w:sz="0" w:space="0" w:color="auto"/>
        <w:right w:val="none" w:sz="0" w:space="0" w:color="auto"/>
      </w:divBdr>
    </w:div>
    <w:div w:id="1848598158">
      <w:bodyDiv w:val="1"/>
      <w:marLeft w:val="0"/>
      <w:marRight w:val="0"/>
      <w:marTop w:val="0"/>
      <w:marBottom w:val="0"/>
      <w:divBdr>
        <w:top w:val="none" w:sz="0" w:space="0" w:color="auto"/>
        <w:left w:val="none" w:sz="0" w:space="0" w:color="auto"/>
        <w:bottom w:val="none" w:sz="0" w:space="0" w:color="auto"/>
        <w:right w:val="none" w:sz="0" w:space="0" w:color="auto"/>
      </w:divBdr>
    </w:div>
    <w:div w:id="1849367180">
      <w:bodyDiv w:val="1"/>
      <w:marLeft w:val="0"/>
      <w:marRight w:val="0"/>
      <w:marTop w:val="0"/>
      <w:marBottom w:val="0"/>
      <w:divBdr>
        <w:top w:val="none" w:sz="0" w:space="0" w:color="auto"/>
        <w:left w:val="none" w:sz="0" w:space="0" w:color="auto"/>
        <w:bottom w:val="none" w:sz="0" w:space="0" w:color="auto"/>
        <w:right w:val="none" w:sz="0" w:space="0" w:color="auto"/>
      </w:divBdr>
    </w:div>
    <w:div w:id="1874464076">
      <w:bodyDiv w:val="1"/>
      <w:marLeft w:val="0"/>
      <w:marRight w:val="0"/>
      <w:marTop w:val="0"/>
      <w:marBottom w:val="0"/>
      <w:divBdr>
        <w:top w:val="none" w:sz="0" w:space="0" w:color="auto"/>
        <w:left w:val="none" w:sz="0" w:space="0" w:color="auto"/>
        <w:bottom w:val="none" w:sz="0" w:space="0" w:color="auto"/>
        <w:right w:val="none" w:sz="0" w:space="0" w:color="auto"/>
      </w:divBdr>
    </w:div>
    <w:div w:id="1895071214">
      <w:bodyDiv w:val="1"/>
      <w:marLeft w:val="0"/>
      <w:marRight w:val="0"/>
      <w:marTop w:val="0"/>
      <w:marBottom w:val="0"/>
      <w:divBdr>
        <w:top w:val="none" w:sz="0" w:space="0" w:color="auto"/>
        <w:left w:val="none" w:sz="0" w:space="0" w:color="auto"/>
        <w:bottom w:val="none" w:sz="0" w:space="0" w:color="auto"/>
        <w:right w:val="none" w:sz="0" w:space="0" w:color="auto"/>
      </w:divBdr>
    </w:div>
    <w:div w:id="1900506658">
      <w:bodyDiv w:val="1"/>
      <w:marLeft w:val="0"/>
      <w:marRight w:val="0"/>
      <w:marTop w:val="0"/>
      <w:marBottom w:val="0"/>
      <w:divBdr>
        <w:top w:val="none" w:sz="0" w:space="0" w:color="auto"/>
        <w:left w:val="none" w:sz="0" w:space="0" w:color="auto"/>
        <w:bottom w:val="none" w:sz="0" w:space="0" w:color="auto"/>
        <w:right w:val="none" w:sz="0" w:space="0" w:color="auto"/>
      </w:divBdr>
    </w:div>
    <w:div w:id="1900555223">
      <w:bodyDiv w:val="1"/>
      <w:marLeft w:val="0"/>
      <w:marRight w:val="0"/>
      <w:marTop w:val="0"/>
      <w:marBottom w:val="0"/>
      <w:divBdr>
        <w:top w:val="none" w:sz="0" w:space="0" w:color="auto"/>
        <w:left w:val="none" w:sz="0" w:space="0" w:color="auto"/>
        <w:bottom w:val="none" w:sz="0" w:space="0" w:color="auto"/>
        <w:right w:val="none" w:sz="0" w:space="0" w:color="auto"/>
      </w:divBdr>
    </w:div>
    <w:div w:id="1909531222">
      <w:bodyDiv w:val="1"/>
      <w:marLeft w:val="0"/>
      <w:marRight w:val="0"/>
      <w:marTop w:val="0"/>
      <w:marBottom w:val="0"/>
      <w:divBdr>
        <w:top w:val="none" w:sz="0" w:space="0" w:color="auto"/>
        <w:left w:val="none" w:sz="0" w:space="0" w:color="auto"/>
        <w:bottom w:val="none" w:sz="0" w:space="0" w:color="auto"/>
        <w:right w:val="none" w:sz="0" w:space="0" w:color="auto"/>
      </w:divBdr>
    </w:div>
    <w:div w:id="1911843863">
      <w:bodyDiv w:val="1"/>
      <w:marLeft w:val="0"/>
      <w:marRight w:val="0"/>
      <w:marTop w:val="0"/>
      <w:marBottom w:val="0"/>
      <w:divBdr>
        <w:top w:val="none" w:sz="0" w:space="0" w:color="auto"/>
        <w:left w:val="none" w:sz="0" w:space="0" w:color="auto"/>
        <w:bottom w:val="none" w:sz="0" w:space="0" w:color="auto"/>
        <w:right w:val="none" w:sz="0" w:space="0" w:color="auto"/>
      </w:divBdr>
    </w:div>
    <w:div w:id="1924751773">
      <w:bodyDiv w:val="1"/>
      <w:marLeft w:val="0"/>
      <w:marRight w:val="0"/>
      <w:marTop w:val="0"/>
      <w:marBottom w:val="0"/>
      <w:divBdr>
        <w:top w:val="none" w:sz="0" w:space="0" w:color="auto"/>
        <w:left w:val="none" w:sz="0" w:space="0" w:color="auto"/>
        <w:bottom w:val="none" w:sz="0" w:space="0" w:color="auto"/>
        <w:right w:val="none" w:sz="0" w:space="0" w:color="auto"/>
      </w:divBdr>
    </w:div>
    <w:div w:id="1937594242">
      <w:bodyDiv w:val="1"/>
      <w:marLeft w:val="0"/>
      <w:marRight w:val="0"/>
      <w:marTop w:val="0"/>
      <w:marBottom w:val="0"/>
      <w:divBdr>
        <w:top w:val="none" w:sz="0" w:space="0" w:color="auto"/>
        <w:left w:val="none" w:sz="0" w:space="0" w:color="auto"/>
        <w:bottom w:val="none" w:sz="0" w:space="0" w:color="auto"/>
        <w:right w:val="none" w:sz="0" w:space="0" w:color="auto"/>
      </w:divBdr>
    </w:div>
    <w:div w:id="1952274073">
      <w:bodyDiv w:val="1"/>
      <w:marLeft w:val="0"/>
      <w:marRight w:val="0"/>
      <w:marTop w:val="0"/>
      <w:marBottom w:val="0"/>
      <w:divBdr>
        <w:top w:val="none" w:sz="0" w:space="0" w:color="auto"/>
        <w:left w:val="none" w:sz="0" w:space="0" w:color="auto"/>
        <w:bottom w:val="none" w:sz="0" w:space="0" w:color="auto"/>
        <w:right w:val="none" w:sz="0" w:space="0" w:color="auto"/>
      </w:divBdr>
    </w:div>
    <w:div w:id="1964922086">
      <w:bodyDiv w:val="1"/>
      <w:marLeft w:val="0"/>
      <w:marRight w:val="0"/>
      <w:marTop w:val="0"/>
      <w:marBottom w:val="0"/>
      <w:divBdr>
        <w:top w:val="none" w:sz="0" w:space="0" w:color="auto"/>
        <w:left w:val="none" w:sz="0" w:space="0" w:color="auto"/>
        <w:bottom w:val="none" w:sz="0" w:space="0" w:color="auto"/>
        <w:right w:val="none" w:sz="0" w:space="0" w:color="auto"/>
      </w:divBdr>
    </w:div>
    <w:div w:id="1971788257">
      <w:bodyDiv w:val="1"/>
      <w:marLeft w:val="0"/>
      <w:marRight w:val="0"/>
      <w:marTop w:val="0"/>
      <w:marBottom w:val="0"/>
      <w:divBdr>
        <w:top w:val="none" w:sz="0" w:space="0" w:color="auto"/>
        <w:left w:val="none" w:sz="0" w:space="0" w:color="auto"/>
        <w:bottom w:val="none" w:sz="0" w:space="0" w:color="auto"/>
        <w:right w:val="none" w:sz="0" w:space="0" w:color="auto"/>
      </w:divBdr>
    </w:div>
    <w:div w:id="1998538063">
      <w:bodyDiv w:val="1"/>
      <w:marLeft w:val="0"/>
      <w:marRight w:val="0"/>
      <w:marTop w:val="0"/>
      <w:marBottom w:val="0"/>
      <w:divBdr>
        <w:top w:val="none" w:sz="0" w:space="0" w:color="auto"/>
        <w:left w:val="none" w:sz="0" w:space="0" w:color="auto"/>
        <w:bottom w:val="none" w:sz="0" w:space="0" w:color="auto"/>
        <w:right w:val="none" w:sz="0" w:space="0" w:color="auto"/>
      </w:divBdr>
    </w:div>
    <w:div w:id="2034727115">
      <w:bodyDiv w:val="1"/>
      <w:marLeft w:val="0"/>
      <w:marRight w:val="0"/>
      <w:marTop w:val="0"/>
      <w:marBottom w:val="0"/>
      <w:divBdr>
        <w:top w:val="none" w:sz="0" w:space="0" w:color="auto"/>
        <w:left w:val="none" w:sz="0" w:space="0" w:color="auto"/>
        <w:bottom w:val="none" w:sz="0" w:space="0" w:color="auto"/>
        <w:right w:val="none" w:sz="0" w:space="0" w:color="auto"/>
      </w:divBdr>
    </w:div>
    <w:div w:id="2052261831">
      <w:bodyDiv w:val="1"/>
      <w:marLeft w:val="0"/>
      <w:marRight w:val="0"/>
      <w:marTop w:val="0"/>
      <w:marBottom w:val="0"/>
      <w:divBdr>
        <w:top w:val="none" w:sz="0" w:space="0" w:color="auto"/>
        <w:left w:val="none" w:sz="0" w:space="0" w:color="auto"/>
        <w:bottom w:val="none" w:sz="0" w:space="0" w:color="auto"/>
        <w:right w:val="none" w:sz="0" w:space="0" w:color="auto"/>
      </w:divBdr>
    </w:div>
    <w:div w:id="2067341293">
      <w:bodyDiv w:val="1"/>
      <w:marLeft w:val="0"/>
      <w:marRight w:val="0"/>
      <w:marTop w:val="0"/>
      <w:marBottom w:val="0"/>
      <w:divBdr>
        <w:top w:val="none" w:sz="0" w:space="0" w:color="auto"/>
        <w:left w:val="none" w:sz="0" w:space="0" w:color="auto"/>
        <w:bottom w:val="none" w:sz="0" w:space="0" w:color="auto"/>
        <w:right w:val="none" w:sz="0" w:space="0" w:color="auto"/>
      </w:divBdr>
    </w:div>
    <w:div w:id="2084834090">
      <w:bodyDiv w:val="1"/>
      <w:marLeft w:val="0"/>
      <w:marRight w:val="0"/>
      <w:marTop w:val="0"/>
      <w:marBottom w:val="0"/>
      <w:divBdr>
        <w:top w:val="none" w:sz="0" w:space="0" w:color="auto"/>
        <w:left w:val="none" w:sz="0" w:space="0" w:color="auto"/>
        <w:bottom w:val="none" w:sz="0" w:space="0" w:color="auto"/>
        <w:right w:val="none" w:sz="0" w:space="0" w:color="auto"/>
      </w:divBdr>
    </w:div>
    <w:div w:id="2102480201">
      <w:bodyDiv w:val="1"/>
      <w:marLeft w:val="0"/>
      <w:marRight w:val="0"/>
      <w:marTop w:val="0"/>
      <w:marBottom w:val="0"/>
      <w:divBdr>
        <w:top w:val="none" w:sz="0" w:space="0" w:color="auto"/>
        <w:left w:val="none" w:sz="0" w:space="0" w:color="auto"/>
        <w:bottom w:val="none" w:sz="0" w:space="0" w:color="auto"/>
        <w:right w:val="none" w:sz="0" w:space="0" w:color="auto"/>
      </w:divBdr>
    </w:div>
    <w:div w:id="2112431762">
      <w:bodyDiv w:val="1"/>
      <w:marLeft w:val="0"/>
      <w:marRight w:val="0"/>
      <w:marTop w:val="0"/>
      <w:marBottom w:val="0"/>
      <w:divBdr>
        <w:top w:val="none" w:sz="0" w:space="0" w:color="auto"/>
        <w:left w:val="none" w:sz="0" w:space="0" w:color="auto"/>
        <w:bottom w:val="none" w:sz="0" w:space="0" w:color="auto"/>
        <w:right w:val="none" w:sz="0" w:space="0" w:color="auto"/>
      </w:divBdr>
    </w:div>
    <w:div w:id="21133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9521-3BBA-47B5-B2E5-2634789F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16</Pages>
  <Words>5732</Words>
  <Characters>32673</Characters>
  <Application>Microsoft Office Word</Application>
  <DocSecurity>0</DocSecurity>
  <Lines>272</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KLINIČKI BOLNIČKI CENTAR ZAGREB</vt:lpstr>
      <vt:lpstr>KLINIČKI BOLNIČKI CENTAR ZAGREB</vt:lpstr>
    </vt:vector>
  </TitlesOfParts>
  <Company>kbc</Company>
  <LinksUpToDate>false</LinksUpToDate>
  <CharactersWithSpaces>38329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BOLNIČKI CENTAR ZAGREB</dc:title>
  <dc:creator>KBC</dc:creator>
  <cp:lastModifiedBy>TOMIĆ HELENA</cp:lastModifiedBy>
  <cp:revision>194</cp:revision>
  <cp:lastPrinted>2025-01-31T08:16:00Z</cp:lastPrinted>
  <dcterms:created xsi:type="dcterms:W3CDTF">2025-01-30T12:37:00Z</dcterms:created>
  <dcterms:modified xsi:type="dcterms:W3CDTF">2025-02-05T07:09:00Z</dcterms:modified>
</cp:coreProperties>
</file>