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EB6F6A">
        <w:tblPrEx>
          <w:tblCellMar>
            <w:top w:w="0" w:type="dxa"/>
            <w:bottom w:w="0" w:type="dxa"/>
          </w:tblCellMar>
        </w:tblPrEx>
        <w:trPr>
          <w:tblCellSpacing w:w="60" w:type="dxa"/>
        </w:trPr>
        <w:tc>
          <w:tcPr>
            <w:tcW w:w="1200" w:type="pct"/>
            <w:shd w:val="clear" w:color="auto" w:fill="E7F0F9"/>
          </w:tcPr>
          <w:p w:rsidR="00EB6F6A" w:rsidRDefault="00286458">
            <w:pPr>
              <w:spacing w:after="0" w:line="240" w:lineRule="auto"/>
            </w:pPr>
            <w:r>
              <w:rPr>
                <w:b/>
              </w:rPr>
              <w:t>RKP broj</w:t>
            </w:r>
          </w:p>
        </w:tc>
        <w:tc>
          <w:tcPr>
            <w:tcW w:w="0" w:type="auto"/>
            <w:shd w:val="clear" w:color="auto" w:fill="E7F0F9"/>
          </w:tcPr>
          <w:p w:rsidR="00EB6F6A" w:rsidRDefault="00286458">
            <w:pPr>
              <w:spacing w:after="0" w:line="240" w:lineRule="auto"/>
            </w:pPr>
            <w:r>
              <w:t>38069</w:t>
            </w:r>
          </w:p>
        </w:tc>
      </w:tr>
      <w:tr w:rsidR="00EB6F6A">
        <w:tblPrEx>
          <w:tblCellMar>
            <w:top w:w="0" w:type="dxa"/>
            <w:bottom w:w="0" w:type="dxa"/>
          </w:tblCellMar>
        </w:tblPrEx>
        <w:trPr>
          <w:tblCellSpacing w:w="60" w:type="dxa"/>
        </w:trPr>
        <w:tc>
          <w:tcPr>
            <w:tcW w:w="1200" w:type="pct"/>
            <w:shd w:val="clear" w:color="auto" w:fill="E7F0F9"/>
          </w:tcPr>
          <w:p w:rsidR="00EB6F6A" w:rsidRDefault="00286458">
            <w:pPr>
              <w:spacing w:after="0" w:line="240" w:lineRule="auto"/>
            </w:pPr>
            <w:r>
              <w:rPr>
                <w:b/>
              </w:rPr>
              <w:t>Naziv obveznika</w:t>
            </w:r>
          </w:p>
        </w:tc>
        <w:tc>
          <w:tcPr>
            <w:tcW w:w="0" w:type="auto"/>
            <w:shd w:val="clear" w:color="auto" w:fill="E7F0F9"/>
          </w:tcPr>
          <w:p w:rsidR="00EB6F6A" w:rsidRDefault="00286458">
            <w:pPr>
              <w:spacing w:after="0" w:line="240" w:lineRule="auto"/>
            </w:pPr>
            <w:r>
              <w:t>KLINIČKI BOLNIČKI CENTAR ZAGREB</w:t>
            </w:r>
          </w:p>
        </w:tc>
      </w:tr>
      <w:tr w:rsidR="00EB6F6A">
        <w:tblPrEx>
          <w:tblCellMar>
            <w:top w:w="0" w:type="dxa"/>
            <w:bottom w:w="0" w:type="dxa"/>
          </w:tblCellMar>
        </w:tblPrEx>
        <w:trPr>
          <w:tblCellSpacing w:w="60" w:type="dxa"/>
        </w:trPr>
        <w:tc>
          <w:tcPr>
            <w:tcW w:w="1200" w:type="pct"/>
            <w:shd w:val="clear" w:color="auto" w:fill="E7F0F9"/>
          </w:tcPr>
          <w:p w:rsidR="00EB6F6A" w:rsidRDefault="00286458">
            <w:pPr>
              <w:spacing w:after="0" w:line="240" w:lineRule="auto"/>
            </w:pPr>
            <w:r>
              <w:rPr>
                <w:b/>
              </w:rPr>
              <w:t>Razina</w:t>
            </w:r>
          </w:p>
        </w:tc>
        <w:tc>
          <w:tcPr>
            <w:tcW w:w="0" w:type="auto"/>
            <w:shd w:val="clear" w:color="auto" w:fill="E7F0F9"/>
          </w:tcPr>
          <w:p w:rsidR="00EB6F6A" w:rsidRDefault="00286458">
            <w:pPr>
              <w:spacing w:after="0" w:line="240" w:lineRule="auto"/>
            </w:pPr>
            <w:r>
              <w:t>11</w:t>
            </w:r>
          </w:p>
        </w:tc>
      </w:tr>
    </w:tbl>
    <w:p w:rsidR="00EB6F6A" w:rsidRDefault="00286458">
      <w:r>
        <w:br/>
      </w:r>
    </w:p>
    <w:p w:rsidR="00EB6F6A" w:rsidRDefault="00286458">
      <w:pPr>
        <w:spacing w:line="240" w:lineRule="auto"/>
        <w:jc w:val="center"/>
      </w:pPr>
      <w:r>
        <w:rPr>
          <w:b/>
          <w:sz w:val="28"/>
        </w:rPr>
        <w:t>BILJEŠKE UZ FINANCIJSKE IZVJEŠTAJE</w:t>
      </w:r>
    </w:p>
    <w:p w:rsidR="00EB6F6A" w:rsidRDefault="00286458">
      <w:pPr>
        <w:spacing w:line="240" w:lineRule="auto"/>
        <w:jc w:val="center"/>
      </w:pPr>
      <w:r>
        <w:rPr>
          <w:b/>
          <w:sz w:val="28"/>
        </w:rPr>
        <w:t>ZA RAZDOBLJE</w:t>
      </w:r>
    </w:p>
    <w:p w:rsidR="00EB6F6A" w:rsidRDefault="00286458">
      <w:pPr>
        <w:spacing w:line="240" w:lineRule="auto"/>
        <w:jc w:val="center"/>
      </w:pPr>
      <w:r>
        <w:rPr>
          <w:b/>
          <w:sz w:val="28"/>
        </w:rPr>
        <w:t>I - XII 2025.</w:t>
      </w:r>
    </w:p>
    <w:p w:rsidR="00EB6F6A" w:rsidRDefault="00EB6F6A"/>
    <w:p w:rsidR="00EB6F6A" w:rsidRDefault="00286458">
      <w:pPr>
        <w:keepNext/>
        <w:spacing w:line="240" w:lineRule="auto"/>
        <w:jc w:val="center"/>
      </w:pPr>
      <w:r>
        <w:rPr>
          <w:b/>
          <w:sz w:val="28"/>
        </w:rPr>
        <w:t>Izvještaj o prihodima i rashodima, primicima i izdacima</w:t>
      </w:r>
    </w:p>
    <w:p w:rsidR="00EB6F6A" w:rsidRDefault="0028645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w:t>
            </w:r>
          </w:p>
        </w:tc>
        <w:tc>
          <w:tcPr>
            <w:tcW w:w="3180" w:type="dxa"/>
            <w:tcMar>
              <w:top w:w="0" w:type="dxa"/>
              <w:bottom w:w="0" w:type="dxa"/>
            </w:tcMar>
            <w:vAlign w:val="center"/>
          </w:tcPr>
          <w:p w:rsidR="00EB6F6A" w:rsidRDefault="00286458">
            <w:pPr>
              <w:keepNext/>
              <w:keepLines/>
              <w:spacing w:after="0" w:line="240" w:lineRule="auto"/>
            </w:pPr>
            <w:r>
              <w:rPr>
                <w:sz w:val="18"/>
              </w:rPr>
              <w:t>PRIHODI POSLOVANJA (šifre 61+62+63+64+65+66+67+68)</w:t>
            </w:r>
          </w:p>
        </w:tc>
        <w:tc>
          <w:tcPr>
            <w:tcW w:w="700" w:type="dxa"/>
            <w:tcMar>
              <w:top w:w="0" w:type="dxa"/>
              <w:bottom w:w="0" w:type="dxa"/>
            </w:tcMar>
            <w:vAlign w:val="center"/>
          </w:tcPr>
          <w:p w:rsidR="00EB6F6A" w:rsidRDefault="00286458">
            <w:pPr>
              <w:keepNext/>
              <w:keepLines/>
              <w:spacing w:after="0" w:line="240" w:lineRule="auto"/>
            </w:pPr>
            <w:r>
              <w:rPr>
                <w:sz w:val="18"/>
              </w:rPr>
              <w:t>6</w:t>
            </w:r>
          </w:p>
        </w:tc>
        <w:tc>
          <w:tcPr>
            <w:tcW w:w="1860" w:type="dxa"/>
            <w:tcMar>
              <w:top w:w="0" w:type="dxa"/>
              <w:bottom w:w="0" w:type="dxa"/>
            </w:tcMar>
            <w:vAlign w:val="center"/>
          </w:tcPr>
          <w:p w:rsidR="00EB6F6A" w:rsidRDefault="00286458">
            <w:pPr>
              <w:keepNext/>
              <w:keepLines/>
              <w:spacing w:after="0" w:line="240" w:lineRule="auto"/>
              <w:jc w:val="right"/>
            </w:pPr>
            <w:r>
              <w:rPr>
                <w:sz w:val="18"/>
              </w:rPr>
              <w:t>656.728.274,54</w:t>
            </w:r>
          </w:p>
        </w:tc>
        <w:tc>
          <w:tcPr>
            <w:tcW w:w="1860" w:type="dxa"/>
            <w:tcMar>
              <w:top w:w="0" w:type="dxa"/>
              <w:bottom w:w="0" w:type="dxa"/>
            </w:tcMar>
            <w:vAlign w:val="center"/>
          </w:tcPr>
          <w:p w:rsidR="00EB6F6A" w:rsidRDefault="00286458">
            <w:pPr>
              <w:keepNext/>
              <w:keepLines/>
              <w:spacing w:after="0" w:line="240" w:lineRule="auto"/>
              <w:jc w:val="right"/>
            </w:pPr>
            <w:r>
              <w:rPr>
                <w:sz w:val="18"/>
              </w:rPr>
              <w:t>730.243.466,95</w:t>
            </w:r>
          </w:p>
        </w:tc>
        <w:tc>
          <w:tcPr>
            <w:tcW w:w="700" w:type="dxa"/>
            <w:tcMar>
              <w:top w:w="0" w:type="dxa"/>
              <w:bottom w:w="0" w:type="dxa"/>
            </w:tcMar>
            <w:vAlign w:val="center"/>
          </w:tcPr>
          <w:p w:rsidR="00EB6F6A" w:rsidRDefault="00286458">
            <w:pPr>
              <w:keepNext/>
              <w:keepLines/>
              <w:spacing w:after="0" w:line="240" w:lineRule="auto"/>
              <w:jc w:val="right"/>
            </w:pPr>
            <w:r>
              <w:rPr>
                <w:sz w:val="18"/>
              </w:rPr>
              <w:t>111,2</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w:t>
            </w:r>
          </w:p>
        </w:tc>
        <w:tc>
          <w:tcPr>
            <w:tcW w:w="3180" w:type="dxa"/>
            <w:tcMar>
              <w:top w:w="0" w:type="dxa"/>
              <w:bottom w:w="0" w:type="dxa"/>
            </w:tcMar>
            <w:vAlign w:val="center"/>
          </w:tcPr>
          <w:p w:rsidR="00EB6F6A" w:rsidRDefault="00286458">
            <w:pPr>
              <w:keepNext/>
              <w:keepLines/>
              <w:spacing w:after="0" w:line="240" w:lineRule="auto"/>
            </w:pPr>
            <w:r>
              <w:rPr>
                <w:sz w:val="18"/>
              </w:rPr>
              <w:t>RASHODI POSLOVANJA (šifre 31+32+34+35+36+37+38)</w:t>
            </w:r>
          </w:p>
        </w:tc>
        <w:tc>
          <w:tcPr>
            <w:tcW w:w="700" w:type="dxa"/>
            <w:tcMar>
              <w:top w:w="0" w:type="dxa"/>
              <w:bottom w:w="0" w:type="dxa"/>
            </w:tcMar>
            <w:vAlign w:val="center"/>
          </w:tcPr>
          <w:p w:rsidR="00EB6F6A" w:rsidRDefault="00286458">
            <w:pPr>
              <w:keepNext/>
              <w:keepLines/>
              <w:spacing w:after="0" w:line="240" w:lineRule="auto"/>
            </w:pPr>
            <w:r>
              <w:rPr>
                <w:sz w:val="18"/>
              </w:rPr>
              <w:t>3</w:t>
            </w:r>
          </w:p>
        </w:tc>
        <w:tc>
          <w:tcPr>
            <w:tcW w:w="1860" w:type="dxa"/>
            <w:tcMar>
              <w:top w:w="0" w:type="dxa"/>
              <w:bottom w:w="0" w:type="dxa"/>
            </w:tcMar>
            <w:vAlign w:val="center"/>
          </w:tcPr>
          <w:p w:rsidR="00EB6F6A" w:rsidRDefault="00286458">
            <w:pPr>
              <w:keepNext/>
              <w:keepLines/>
              <w:spacing w:after="0" w:line="240" w:lineRule="auto"/>
              <w:jc w:val="right"/>
            </w:pPr>
            <w:r>
              <w:rPr>
                <w:sz w:val="18"/>
              </w:rPr>
              <w:t>627.849.750,35</w:t>
            </w:r>
          </w:p>
        </w:tc>
        <w:tc>
          <w:tcPr>
            <w:tcW w:w="1860" w:type="dxa"/>
            <w:tcMar>
              <w:top w:w="0" w:type="dxa"/>
              <w:bottom w:w="0" w:type="dxa"/>
            </w:tcMar>
            <w:vAlign w:val="center"/>
          </w:tcPr>
          <w:p w:rsidR="00EB6F6A" w:rsidRDefault="00286458">
            <w:pPr>
              <w:keepNext/>
              <w:keepLines/>
              <w:spacing w:after="0" w:line="240" w:lineRule="auto"/>
              <w:jc w:val="right"/>
            </w:pPr>
            <w:r>
              <w:rPr>
                <w:sz w:val="18"/>
              </w:rPr>
              <w:t>687.804.171,43</w:t>
            </w:r>
          </w:p>
        </w:tc>
        <w:tc>
          <w:tcPr>
            <w:tcW w:w="700" w:type="dxa"/>
            <w:tcMar>
              <w:top w:w="0" w:type="dxa"/>
              <w:bottom w:w="0" w:type="dxa"/>
            </w:tcMar>
            <w:vAlign w:val="center"/>
          </w:tcPr>
          <w:p w:rsidR="00EB6F6A" w:rsidRDefault="00286458">
            <w:pPr>
              <w:keepNext/>
              <w:keepLines/>
              <w:spacing w:after="0" w:line="240" w:lineRule="auto"/>
              <w:jc w:val="right"/>
            </w:pPr>
            <w:r>
              <w:rPr>
                <w:sz w:val="18"/>
              </w:rPr>
              <w:t>109,5</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EB6F6A">
            <w:pPr>
              <w:keepNext/>
              <w:keepLines/>
              <w:spacing w:after="0" w:line="240" w:lineRule="auto"/>
            </w:pPr>
          </w:p>
        </w:tc>
        <w:tc>
          <w:tcPr>
            <w:tcW w:w="3180" w:type="dxa"/>
            <w:tcMar>
              <w:top w:w="0" w:type="dxa"/>
              <w:bottom w:w="0" w:type="dxa"/>
            </w:tcMar>
            <w:vAlign w:val="center"/>
          </w:tcPr>
          <w:p w:rsidR="00EB6F6A" w:rsidRDefault="00286458">
            <w:pPr>
              <w:keepNext/>
              <w:keepLines/>
              <w:spacing w:after="0" w:line="240" w:lineRule="auto"/>
            </w:pPr>
            <w:r>
              <w:rPr>
                <w:b/>
                <w:sz w:val="18"/>
              </w:rPr>
              <w:t>VIŠAK PRIHODA POSLOVANJA (šifre 6-Z005)</w:t>
            </w:r>
          </w:p>
        </w:tc>
        <w:tc>
          <w:tcPr>
            <w:tcW w:w="700" w:type="dxa"/>
            <w:tcMar>
              <w:top w:w="0" w:type="dxa"/>
              <w:bottom w:w="0" w:type="dxa"/>
            </w:tcMar>
            <w:vAlign w:val="center"/>
          </w:tcPr>
          <w:p w:rsidR="00EB6F6A" w:rsidRDefault="00286458">
            <w:pPr>
              <w:keepNext/>
              <w:keepLines/>
              <w:spacing w:after="0" w:line="240" w:lineRule="auto"/>
            </w:pPr>
            <w:r>
              <w:rPr>
                <w:b/>
                <w:sz w:val="18"/>
              </w:rPr>
              <w:t>X001</w:t>
            </w:r>
          </w:p>
        </w:tc>
        <w:tc>
          <w:tcPr>
            <w:tcW w:w="1860" w:type="dxa"/>
            <w:tcMar>
              <w:top w:w="0" w:type="dxa"/>
              <w:bottom w:w="0" w:type="dxa"/>
            </w:tcMar>
            <w:vAlign w:val="center"/>
          </w:tcPr>
          <w:p w:rsidR="00EB6F6A" w:rsidRDefault="00286458">
            <w:pPr>
              <w:keepNext/>
              <w:keepLines/>
              <w:spacing w:after="0" w:line="240" w:lineRule="auto"/>
              <w:jc w:val="right"/>
            </w:pPr>
            <w:r>
              <w:rPr>
                <w:b/>
                <w:sz w:val="18"/>
              </w:rPr>
              <w:t>28.878.524,19</w:t>
            </w:r>
          </w:p>
        </w:tc>
        <w:tc>
          <w:tcPr>
            <w:tcW w:w="1860" w:type="dxa"/>
            <w:tcMar>
              <w:top w:w="0" w:type="dxa"/>
              <w:bottom w:w="0" w:type="dxa"/>
            </w:tcMar>
            <w:vAlign w:val="center"/>
          </w:tcPr>
          <w:p w:rsidR="00EB6F6A" w:rsidRDefault="00286458">
            <w:pPr>
              <w:keepNext/>
              <w:keepLines/>
              <w:spacing w:after="0" w:line="240" w:lineRule="auto"/>
              <w:jc w:val="right"/>
            </w:pPr>
            <w:r>
              <w:rPr>
                <w:b/>
                <w:sz w:val="18"/>
              </w:rPr>
              <w:t>42.439.295,52</w:t>
            </w:r>
          </w:p>
        </w:tc>
        <w:tc>
          <w:tcPr>
            <w:tcW w:w="700" w:type="dxa"/>
            <w:tcMar>
              <w:top w:w="0" w:type="dxa"/>
              <w:bottom w:w="0" w:type="dxa"/>
            </w:tcMar>
            <w:vAlign w:val="center"/>
          </w:tcPr>
          <w:p w:rsidR="00EB6F6A" w:rsidRDefault="00286458">
            <w:pPr>
              <w:keepNext/>
              <w:keepLines/>
              <w:spacing w:after="0" w:line="240" w:lineRule="auto"/>
              <w:jc w:val="right"/>
            </w:pPr>
            <w:r>
              <w:rPr>
                <w:b/>
                <w:sz w:val="18"/>
              </w:rPr>
              <w:t>147,0</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7</w:t>
            </w:r>
          </w:p>
        </w:tc>
        <w:tc>
          <w:tcPr>
            <w:tcW w:w="3180" w:type="dxa"/>
            <w:tcMar>
              <w:top w:w="0" w:type="dxa"/>
              <w:bottom w:w="0" w:type="dxa"/>
            </w:tcMar>
            <w:vAlign w:val="center"/>
          </w:tcPr>
          <w:p w:rsidR="00EB6F6A" w:rsidRDefault="0028645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EB6F6A" w:rsidRDefault="00286458">
            <w:pPr>
              <w:keepNext/>
              <w:keepLines/>
              <w:spacing w:after="0" w:line="240" w:lineRule="auto"/>
            </w:pPr>
            <w:r>
              <w:rPr>
                <w:sz w:val="18"/>
              </w:rPr>
              <w:t>7</w:t>
            </w:r>
          </w:p>
        </w:tc>
        <w:tc>
          <w:tcPr>
            <w:tcW w:w="1860" w:type="dxa"/>
            <w:tcMar>
              <w:top w:w="0" w:type="dxa"/>
              <w:bottom w:w="0" w:type="dxa"/>
            </w:tcMar>
            <w:vAlign w:val="center"/>
          </w:tcPr>
          <w:p w:rsidR="00EB6F6A" w:rsidRDefault="00286458">
            <w:pPr>
              <w:keepNext/>
              <w:keepLines/>
              <w:spacing w:after="0" w:line="240" w:lineRule="auto"/>
              <w:jc w:val="right"/>
            </w:pPr>
            <w:r>
              <w:rPr>
                <w:sz w:val="18"/>
              </w:rPr>
              <w:t>4.526,95</w:t>
            </w:r>
          </w:p>
        </w:tc>
        <w:tc>
          <w:tcPr>
            <w:tcW w:w="1860" w:type="dxa"/>
            <w:tcMar>
              <w:top w:w="0" w:type="dxa"/>
              <w:bottom w:w="0" w:type="dxa"/>
            </w:tcMar>
            <w:vAlign w:val="center"/>
          </w:tcPr>
          <w:p w:rsidR="00EB6F6A" w:rsidRDefault="00286458">
            <w:pPr>
              <w:keepNext/>
              <w:keepLines/>
              <w:spacing w:after="0" w:line="240" w:lineRule="auto"/>
              <w:jc w:val="right"/>
            </w:pPr>
            <w:r>
              <w:rPr>
                <w:sz w:val="18"/>
              </w:rPr>
              <w:t>861,64</w:t>
            </w:r>
          </w:p>
        </w:tc>
        <w:tc>
          <w:tcPr>
            <w:tcW w:w="700" w:type="dxa"/>
            <w:tcMar>
              <w:top w:w="0" w:type="dxa"/>
              <w:bottom w:w="0" w:type="dxa"/>
            </w:tcMar>
            <w:vAlign w:val="center"/>
          </w:tcPr>
          <w:p w:rsidR="00EB6F6A" w:rsidRDefault="00286458">
            <w:pPr>
              <w:keepNext/>
              <w:keepLines/>
              <w:spacing w:after="0" w:line="240" w:lineRule="auto"/>
              <w:jc w:val="right"/>
            </w:pPr>
            <w:r>
              <w:rPr>
                <w:sz w:val="18"/>
              </w:rPr>
              <w:t>19,0</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4</w:t>
            </w:r>
          </w:p>
        </w:tc>
        <w:tc>
          <w:tcPr>
            <w:tcW w:w="3180" w:type="dxa"/>
            <w:tcMar>
              <w:top w:w="0" w:type="dxa"/>
              <w:bottom w:w="0" w:type="dxa"/>
            </w:tcMar>
            <w:vAlign w:val="center"/>
          </w:tcPr>
          <w:p w:rsidR="00EB6F6A" w:rsidRDefault="00286458">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rsidR="00EB6F6A" w:rsidRDefault="00286458">
            <w:pPr>
              <w:keepNext/>
              <w:keepLines/>
              <w:spacing w:after="0" w:line="240" w:lineRule="auto"/>
            </w:pPr>
            <w:r>
              <w:rPr>
                <w:sz w:val="18"/>
              </w:rPr>
              <w:t>4</w:t>
            </w:r>
          </w:p>
        </w:tc>
        <w:tc>
          <w:tcPr>
            <w:tcW w:w="1860" w:type="dxa"/>
            <w:tcMar>
              <w:top w:w="0" w:type="dxa"/>
              <w:bottom w:w="0" w:type="dxa"/>
            </w:tcMar>
            <w:vAlign w:val="center"/>
          </w:tcPr>
          <w:p w:rsidR="00EB6F6A" w:rsidRDefault="00286458">
            <w:pPr>
              <w:keepNext/>
              <w:keepLines/>
              <w:spacing w:after="0" w:line="240" w:lineRule="auto"/>
              <w:jc w:val="right"/>
            </w:pPr>
            <w:r>
              <w:rPr>
                <w:sz w:val="18"/>
              </w:rPr>
              <w:t>81.860.093,01</w:t>
            </w:r>
          </w:p>
        </w:tc>
        <w:tc>
          <w:tcPr>
            <w:tcW w:w="1860" w:type="dxa"/>
            <w:tcMar>
              <w:top w:w="0" w:type="dxa"/>
              <w:bottom w:w="0" w:type="dxa"/>
            </w:tcMar>
            <w:vAlign w:val="center"/>
          </w:tcPr>
          <w:p w:rsidR="00EB6F6A" w:rsidRDefault="00286458">
            <w:pPr>
              <w:keepNext/>
              <w:keepLines/>
              <w:spacing w:after="0" w:line="240" w:lineRule="auto"/>
              <w:jc w:val="right"/>
            </w:pPr>
            <w:r>
              <w:rPr>
                <w:sz w:val="18"/>
              </w:rPr>
              <w:t>70.102.820,71</w:t>
            </w:r>
          </w:p>
        </w:tc>
        <w:tc>
          <w:tcPr>
            <w:tcW w:w="700" w:type="dxa"/>
            <w:tcMar>
              <w:top w:w="0" w:type="dxa"/>
              <w:bottom w:w="0" w:type="dxa"/>
            </w:tcMar>
            <w:vAlign w:val="center"/>
          </w:tcPr>
          <w:p w:rsidR="00EB6F6A" w:rsidRDefault="00286458">
            <w:pPr>
              <w:keepNext/>
              <w:keepLines/>
              <w:spacing w:after="0" w:line="240" w:lineRule="auto"/>
              <w:jc w:val="right"/>
            </w:pPr>
            <w:r>
              <w:rPr>
                <w:sz w:val="18"/>
              </w:rPr>
              <w:t>85,6</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EB6F6A">
            <w:pPr>
              <w:keepNext/>
              <w:keepLines/>
              <w:spacing w:after="0" w:line="240" w:lineRule="auto"/>
            </w:pPr>
          </w:p>
        </w:tc>
        <w:tc>
          <w:tcPr>
            <w:tcW w:w="3180" w:type="dxa"/>
            <w:tcMar>
              <w:top w:w="0" w:type="dxa"/>
              <w:bottom w:w="0" w:type="dxa"/>
            </w:tcMar>
            <w:vAlign w:val="center"/>
          </w:tcPr>
          <w:p w:rsidR="00EB6F6A" w:rsidRDefault="00286458">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EB6F6A" w:rsidRDefault="00286458">
            <w:pPr>
              <w:keepNext/>
              <w:keepLines/>
              <w:spacing w:after="0" w:line="240" w:lineRule="auto"/>
            </w:pPr>
            <w:r>
              <w:rPr>
                <w:b/>
                <w:sz w:val="18"/>
              </w:rPr>
              <w:t>Y002</w:t>
            </w:r>
          </w:p>
        </w:tc>
        <w:tc>
          <w:tcPr>
            <w:tcW w:w="1860" w:type="dxa"/>
            <w:tcMar>
              <w:top w:w="0" w:type="dxa"/>
              <w:bottom w:w="0" w:type="dxa"/>
            </w:tcMar>
            <w:vAlign w:val="center"/>
          </w:tcPr>
          <w:p w:rsidR="00EB6F6A" w:rsidRDefault="00286458">
            <w:pPr>
              <w:keepNext/>
              <w:keepLines/>
              <w:spacing w:after="0" w:line="240" w:lineRule="auto"/>
              <w:jc w:val="right"/>
            </w:pPr>
            <w:r>
              <w:rPr>
                <w:b/>
                <w:sz w:val="18"/>
              </w:rPr>
              <w:t>81.855.566,06</w:t>
            </w:r>
          </w:p>
        </w:tc>
        <w:tc>
          <w:tcPr>
            <w:tcW w:w="1860" w:type="dxa"/>
            <w:tcMar>
              <w:top w:w="0" w:type="dxa"/>
              <w:bottom w:w="0" w:type="dxa"/>
            </w:tcMar>
            <w:vAlign w:val="center"/>
          </w:tcPr>
          <w:p w:rsidR="00EB6F6A" w:rsidRDefault="00286458">
            <w:pPr>
              <w:keepNext/>
              <w:keepLines/>
              <w:spacing w:after="0" w:line="240" w:lineRule="auto"/>
              <w:jc w:val="right"/>
            </w:pPr>
            <w:r>
              <w:rPr>
                <w:b/>
                <w:sz w:val="18"/>
              </w:rPr>
              <w:t>70.101.959,07</w:t>
            </w:r>
          </w:p>
        </w:tc>
        <w:tc>
          <w:tcPr>
            <w:tcW w:w="700" w:type="dxa"/>
            <w:tcMar>
              <w:top w:w="0" w:type="dxa"/>
              <w:bottom w:w="0" w:type="dxa"/>
            </w:tcMar>
            <w:vAlign w:val="center"/>
          </w:tcPr>
          <w:p w:rsidR="00EB6F6A" w:rsidRDefault="00286458">
            <w:pPr>
              <w:keepNext/>
              <w:keepLines/>
              <w:spacing w:after="0" w:line="240" w:lineRule="auto"/>
              <w:jc w:val="right"/>
            </w:pPr>
            <w:r>
              <w:rPr>
                <w:b/>
                <w:sz w:val="18"/>
              </w:rPr>
              <w:t>85,6</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8</w:t>
            </w:r>
          </w:p>
        </w:tc>
        <w:tc>
          <w:tcPr>
            <w:tcW w:w="3180" w:type="dxa"/>
            <w:tcMar>
              <w:top w:w="0" w:type="dxa"/>
              <w:bottom w:w="0" w:type="dxa"/>
            </w:tcMar>
            <w:vAlign w:val="center"/>
          </w:tcPr>
          <w:p w:rsidR="00EB6F6A" w:rsidRDefault="0028645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EB6F6A" w:rsidRDefault="00286458">
            <w:pPr>
              <w:keepNext/>
              <w:keepLines/>
              <w:spacing w:after="0" w:line="240" w:lineRule="auto"/>
            </w:pPr>
            <w:r>
              <w:rPr>
                <w:sz w:val="18"/>
              </w:rPr>
              <w:t>8</w:t>
            </w:r>
          </w:p>
        </w:tc>
        <w:tc>
          <w:tcPr>
            <w:tcW w:w="1860" w:type="dxa"/>
            <w:tcMar>
              <w:top w:w="0" w:type="dxa"/>
              <w:bottom w:w="0" w:type="dxa"/>
            </w:tcMar>
            <w:vAlign w:val="center"/>
          </w:tcPr>
          <w:p w:rsidR="00EB6F6A" w:rsidRDefault="00286458">
            <w:pPr>
              <w:keepNext/>
              <w:keepLines/>
              <w:spacing w:after="0" w:line="240" w:lineRule="auto"/>
              <w:jc w:val="right"/>
            </w:pPr>
            <w:r>
              <w:rPr>
                <w:sz w:val="18"/>
              </w:rPr>
              <w:t>3.986.916,83</w:t>
            </w:r>
          </w:p>
        </w:tc>
        <w:tc>
          <w:tcPr>
            <w:tcW w:w="1860" w:type="dxa"/>
            <w:tcMar>
              <w:top w:w="0" w:type="dxa"/>
              <w:bottom w:w="0" w:type="dxa"/>
            </w:tcMar>
            <w:vAlign w:val="center"/>
          </w:tcPr>
          <w:p w:rsidR="00EB6F6A" w:rsidRDefault="00286458">
            <w:pPr>
              <w:keepNext/>
              <w:keepLines/>
              <w:spacing w:after="0" w:line="240" w:lineRule="auto"/>
              <w:jc w:val="right"/>
            </w:pPr>
            <w:r>
              <w:rPr>
                <w:sz w:val="18"/>
              </w:rPr>
              <w:t>16.240.397,71</w:t>
            </w:r>
          </w:p>
        </w:tc>
        <w:tc>
          <w:tcPr>
            <w:tcW w:w="700" w:type="dxa"/>
            <w:tcMar>
              <w:top w:w="0" w:type="dxa"/>
              <w:bottom w:w="0" w:type="dxa"/>
            </w:tcMar>
            <w:vAlign w:val="center"/>
          </w:tcPr>
          <w:p w:rsidR="00EB6F6A" w:rsidRDefault="00286458">
            <w:pPr>
              <w:keepNext/>
              <w:keepLines/>
              <w:spacing w:after="0" w:line="240" w:lineRule="auto"/>
              <w:jc w:val="right"/>
            </w:pPr>
            <w:r>
              <w:rPr>
                <w:sz w:val="18"/>
              </w:rPr>
              <w:t>407,3</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5</w:t>
            </w:r>
          </w:p>
        </w:tc>
        <w:tc>
          <w:tcPr>
            <w:tcW w:w="3180" w:type="dxa"/>
            <w:tcMar>
              <w:top w:w="0" w:type="dxa"/>
              <w:bottom w:w="0" w:type="dxa"/>
            </w:tcMar>
            <w:vAlign w:val="center"/>
          </w:tcPr>
          <w:p w:rsidR="00EB6F6A" w:rsidRDefault="0028645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EB6F6A" w:rsidRDefault="00286458">
            <w:pPr>
              <w:keepNext/>
              <w:keepLines/>
              <w:spacing w:after="0" w:line="240" w:lineRule="auto"/>
            </w:pPr>
            <w:r>
              <w:rPr>
                <w:sz w:val="18"/>
              </w:rPr>
              <w:t>5</w:t>
            </w:r>
          </w:p>
        </w:tc>
        <w:tc>
          <w:tcPr>
            <w:tcW w:w="1860" w:type="dxa"/>
            <w:tcMar>
              <w:top w:w="0" w:type="dxa"/>
              <w:bottom w:w="0" w:type="dxa"/>
            </w:tcMar>
            <w:vAlign w:val="center"/>
          </w:tcPr>
          <w:p w:rsidR="00EB6F6A" w:rsidRDefault="00286458">
            <w:pPr>
              <w:keepNext/>
              <w:keepLines/>
              <w:spacing w:after="0" w:line="240" w:lineRule="auto"/>
              <w:jc w:val="right"/>
            </w:pPr>
            <w:r>
              <w:rPr>
                <w:sz w:val="18"/>
              </w:rPr>
              <w:t>6.321.019,83</w:t>
            </w:r>
          </w:p>
        </w:tc>
        <w:tc>
          <w:tcPr>
            <w:tcW w:w="1860" w:type="dxa"/>
            <w:tcMar>
              <w:top w:w="0" w:type="dxa"/>
              <w:bottom w:w="0" w:type="dxa"/>
            </w:tcMar>
            <w:vAlign w:val="center"/>
          </w:tcPr>
          <w:p w:rsidR="00EB6F6A" w:rsidRDefault="00286458">
            <w:pPr>
              <w:keepNext/>
              <w:keepLines/>
              <w:spacing w:after="0" w:line="240" w:lineRule="auto"/>
              <w:jc w:val="right"/>
            </w:pPr>
            <w:r>
              <w:rPr>
                <w:sz w:val="18"/>
              </w:rPr>
              <w:t>14.474.755,06</w:t>
            </w:r>
          </w:p>
        </w:tc>
        <w:tc>
          <w:tcPr>
            <w:tcW w:w="700" w:type="dxa"/>
            <w:tcMar>
              <w:top w:w="0" w:type="dxa"/>
              <w:bottom w:w="0" w:type="dxa"/>
            </w:tcMar>
            <w:vAlign w:val="center"/>
          </w:tcPr>
          <w:p w:rsidR="00EB6F6A" w:rsidRDefault="00286458">
            <w:pPr>
              <w:keepNext/>
              <w:keepLines/>
              <w:spacing w:after="0" w:line="240" w:lineRule="auto"/>
              <w:jc w:val="right"/>
            </w:pPr>
            <w:r>
              <w:rPr>
                <w:sz w:val="18"/>
              </w:rPr>
              <w:t>229,0</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EB6F6A">
            <w:pPr>
              <w:keepNext/>
              <w:keepLines/>
              <w:spacing w:after="0" w:line="240" w:lineRule="auto"/>
            </w:pPr>
          </w:p>
        </w:tc>
        <w:tc>
          <w:tcPr>
            <w:tcW w:w="3180" w:type="dxa"/>
            <w:tcMar>
              <w:top w:w="0" w:type="dxa"/>
              <w:bottom w:w="0" w:type="dxa"/>
            </w:tcMar>
            <w:vAlign w:val="center"/>
          </w:tcPr>
          <w:p w:rsidR="00EB6F6A" w:rsidRDefault="00286458">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EB6F6A" w:rsidRDefault="00286458">
            <w:pPr>
              <w:keepNext/>
              <w:keepLines/>
              <w:spacing w:after="0" w:line="240" w:lineRule="auto"/>
            </w:pPr>
            <w:r>
              <w:rPr>
                <w:b/>
                <w:sz w:val="18"/>
              </w:rPr>
              <w:t>X003</w:t>
            </w:r>
          </w:p>
        </w:tc>
        <w:tc>
          <w:tcPr>
            <w:tcW w:w="1860" w:type="dxa"/>
            <w:tcMar>
              <w:top w:w="0" w:type="dxa"/>
              <w:bottom w:w="0" w:type="dxa"/>
            </w:tcMar>
            <w:vAlign w:val="center"/>
          </w:tcPr>
          <w:p w:rsidR="00EB6F6A" w:rsidRDefault="00286458">
            <w:pPr>
              <w:keepNext/>
              <w:keepLines/>
              <w:spacing w:after="0" w:line="240" w:lineRule="auto"/>
              <w:jc w:val="right"/>
            </w:pPr>
            <w:r>
              <w:rPr>
                <w:b/>
                <w:sz w:val="18"/>
              </w:rPr>
              <w:t>0,00</w:t>
            </w:r>
          </w:p>
        </w:tc>
        <w:tc>
          <w:tcPr>
            <w:tcW w:w="1860" w:type="dxa"/>
            <w:tcMar>
              <w:top w:w="0" w:type="dxa"/>
              <w:bottom w:w="0" w:type="dxa"/>
            </w:tcMar>
            <w:vAlign w:val="center"/>
          </w:tcPr>
          <w:p w:rsidR="00EB6F6A" w:rsidRDefault="00286458">
            <w:pPr>
              <w:keepNext/>
              <w:keepLines/>
              <w:spacing w:after="0" w:line="240" w:lineRule="auto"/>
              <w:jc w:val="right"/>
            </w:pPr>
            <w:r>
              <w:rPr>
                <w:b/>
                <w:sz w:val="18"/>
              </w:rPr>
              <w:t>1.765.642,65</w:t>
            </w:r>
          </w:p>
        </w:tc>
        <w:tc>
          <w:tcPr>
            <w:tcW w:w="700" w:type="dxa"/>
            <w:tcMar>
              <w:top w:w="0" w:type="dxa"/>
              <w:bottom w:w="0" w:type="dxa"/>
            </w:tcMar>
            <w:vAlign w:val="center"/>
          </w:tcPr>
          <w:p w:rsidR="00EB6F6A" w:rsidRDefault="00286458">
            <w:pPr>
              <w:keepNext/>
              <w:keepLines/>
              <w:spacing w:after="0" w:line="240" w:lineRule="auto"/>
              <w:jc w:val="right"/>
            </w:pPr>
            <w:r>
              <w:rPr>
                <w:b/>
                <w:sz w:val="18"/>
              </w:rPr>
              <w:t>-</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EB6F6A">
            <w:pPr>
              <w:keepNext/>
              <w:keepLines/>
              <w:spacing w:after="0" w:line="240" w:lineRule="auto"/>
            </w:pPr>
          </w:p>
        </w:tc>
        <w:tc>
          <w:tcPr>
            <w:tcW w:w="3180" w:type="dxa"/>
            <w:tcMar>
              <w:top w:w="0" w:type="dxa"/>
              <w:bottom w:w="0" w:type="dxa"/>
            </w:tcMar>
            <w:vAlign w:val="center"/>
          </w:tcPr>
          <w:p w:rsidR="00EB6F6A" w:rsidRDefault="00286458">
            <w:pPr>
              <w:keepNext/>
              <w:keepLines/>
              <w:spacing w:after="0" w:line="240" w:lineRule="auto"/>
            </w:pPr>
            <w:r>
              <w:rPr>
                <w:b/>
                <w:sz w:val="18"/>
              </w:rPr>
              <w:t>MANJAK PRIHODA I PRIMITAKA (šifre Y345-X678)</w:t>
            </w:r>
          </w:p>
        </w:tc>
        <w:tc>
          <w:tcPr>
            <w:tcW w:w="700" w:type="dxa"/>
            <w:tcMar>
              <w:top w:w="0" w:type="dxa"/>
              <w:bottom w:w="0" w:type="dxa"/>
            </w:tcMar>
            <w:vAlign w:val="center"/>
          </w:tcPr>
          <w:p w:rsidR="00EB6F6A" w:rsidRDefault="00286458">
            <w:pPr>
              <w:keepNext/>
              <w:keepLines/>
              <w:spacing w:after="0" w:line="240" w:lineRule="auto"/>
            </w:pPr>
            <w:r>
              <w:rPr>
                <w:b/>
                <w:sz w:val="18"/>
              </w:rPr>
              <w:t>Y005</w:t>
            </w:r>
          </w:p>
        </w:tc>
        <w:tc>
          <w:tcPr>
            <w:tcW w:w="1860" w:type="dxa"/>
            <w:tcMar>
              <w:top w:w="0" w:type="dxa"/>
              <w:bottom w:w="0" w:type="dxa"/>
            </w:tcMar>
            <w:vAlign w:val="center"/>
          </w:tcPr>
          <w:p w:rsidR="00EB6F6A" w:rsidRDefault="00286458">
            <w:pPr>
              <w:keepNext/>
              <w:keepLines/>
              <w:spacing w:after="0" w:line="240" w:lineRule="auto"/>
              <w:jc w:val="right"/>
            </w:pPr>
            <w:r>
              <w:rPr>
                <w:b/>
                <w:sz w:val="18"/>
              </w:rPr>
              <w:t>55.311.144,87</w:t>
            </w:r>
          </w:p>
        </w:tc>
        <w:tc>
          <w:tcPr>
            <w:tcW w:w="1860" w:type="dxa"/>
            <w:tcMar>
              <w:top w:w="0" w:type="dxa"/>
              <w:bottom w:w="0" w:type="dxa"/>
            </w:tcMar>
            <w:vAlign w:val="center"/>
          </w:tcPr>
          <w:p w:rsidR="00EB6F6A" w:rsidRDefault="00286458">
            <w:pPr>
              <w:keepNext/>
              <w:keepLines/>
              <w:spacing w:after="0" w:line="240" w:lineRule="auto"/>
              <w:jc w:val="right"/>
            </w:pPr>
            <w:r>
              <w:rPr>
                <w:b/>
                <w:sz w:val="18"/>
              </w:rPr>
              <w:t>25.897.020,90</w:t>
            </w:r>
          </w:p>
        </w:tc>
        <w:tc>
          <w:tcPr>
            <w:tcW w:w="700" w:type="dxa"/>
            <w:tcMar>
              <w:top w:w="0" w:type="dxa"/>
              <w:bottom w:w="0" w:type="dxa"/>
            </w:tcMar>
            <w:vAlign w:val="center"/>
          </w:tcPr>
          <w:p w:rsidR="00EB6F6A" w:rsidRDefault="00286458">
            <w:pPr>
              <w:keepNext/>
              <w:keepLines/>
              <w:spacing w:after="0" w:line="240" w:lineRule="auto"/>
              <w:jc w:val="right"/>
            </w:pPr>
            <w:r>
              <w:rPr>
                <w:b/>
                <w:sz w:val="18"/>
              </w:rPr>
              <w:t>46,8</w:t>
            </w:r>
          </w:p>
        </w:tc>
      </w:tr>
    </w:tbl>
    <w:p w:rsidR="00EB6F6A" w:rsidRDefault="00EB6F6A">
      <w:pPr>
        <w:spacing w:after="0"/>
      </w:pPr>
    </w:p>
    <w:p w:rsidR="00EB6F6A" w:rsidRDefault="00286458">
      <w:pPr>
        <w:jc w:val="both"/>
      </w:pPr>
      <w:r>
        <w:t>KBC Zagreb je prema proračunskom računovodstvu u razdoblju od 1. siječnja do 31. prosinca 2025. godine ostvario manjak prihoda i primitaka nad rashodima i izdacima u iznosu od 25.897.021 EUR uvjetovan sljedećim vanjskim čimbenicima:</w:t>
      </w:r>
    </w:p>
    <w:p w:rsidR="00EB6F6A" w:rsidRDefault="00286458">
      <w:pPr>
        <w:pStyle w:val="ListParagraph"/>
        <w:numPr>
          <w:ilvl w:val="0"/>
          <w:numId w:val="1"/>
        </w:numPr>
      </w:pPr>
      <w:r>
        <w:t xml:space="preserve">neprimjeren DTS sustav </w:t>
      </w:r>
      <w:r>
        <w:t>kako u pogledu kategorija bolnica i vrsta djelatnosti tako i metodologije obračuna troškova i određivanja cijena DTS skupina, utvrđivanja složenosti postupaka, vrste i broja DTS skupina, neusklađenosti s nacionalnom strategijom zdravstva i zahtjeva suvreme</w:t>
      </w:r>
      <w:r>
        <w:t xml:space="preserve">ne medicinske tehnologije. DTS sustav ima </w:t>
      </w:r>
      <w:r>
        <w:lastRenderedPageBreak/>
        <w:t>negativni utjecaj na izvršenje limita odnosno na prihode vezano za provođenje bolničkog liječenja  iz obveznog zdravstvenog osiguranja te na prihode dopunskog zdravstvenog osiguranja i participacija,</w:t>
      </w:r>
    </w:p>
    <w:p w:rsidR="00EB6F6A" w:rsidRDefault="00286458">
      <w:pPr>
        <w:pStyle w:val="ListParagraph"/>
        <w:numPr>
          <w:ilvl w:val="0"/>
          <w:numId w:val="1"/>
        </w:numPr>
      </w:pPr>
      <w:r>
        <w:t>neprimjeren DT</w:t>
      </w:r>
      <w:r>
        <w:t xml:space="preserve">P sustav u pogledu cijena i složenosti postupaka što ima negativni utjecaj na izvršenje limita odnosno na prihode vezano za provođenje specijalističko konzilijarne zdravstvene zaštite iz obveznog zdravstvenog osiguranja te na prihode </w:t>
      </w:r>
      <w:bookmarkStart w:id="0" w:name="_GoBack"/>
      <w:bookmarkEnd w:id="0"/>
      <w:r>
        <w:t>dopunskog zdravstvenog</w:t>
      </w:r>
      <w:r>
        <w:t xml:space="preserve"> osiguranja i participacija,</w:t>
      </w:r>
    </w:p>
    <w:p w:rsidR="00EB6F6A" w:rsidRDefault="00286458">
      <w:pPr>
        <w:pStyle w:val="ListParagraph"/>
        <w:numPr>
          <w:ilvl w:val="0"/>
          <w:numId w:val="1"/>
        </w:numPr>
      </w:pPr>
      <w:r>
        <w:t>ugovoreni rok plaćanja s HZZO-om od 60 dana za aktivnosti izvan „limita“,</w:t>
      </w:r>
    </w:p>
    <w:p w:rsidR="00EB6F6A" w:rsidRDefault="00286458">
      <w:pPr>
        <w:pStyle w:val="ListParagraph"/>
        <w:numPr>
          <w:ilvl w:val="0"/>
          <w:numId w:val="1"/>
        </w:numPr>
      </w:pPr>
      <w:r>
        <w:t xml:space="preserve">izvori radnog prava koji uređuju plaće zaposlenih u zdravstvu regulirani su općim propisima o radu i u skladu s njima zaključenim kolektivnim ugovorima, </w:t>
      </w:r>
      <w:r>
        <w:t>koje sklapaju Vlada RH i sindikati,</w:t>
      </w:r>
    </w:p>
    <w:p w:rsidR="00EB6F6A" w:rsidRDefault="00286458">
      <w:pPr>
        <w:pStyle w:val="ListParagraph"/>
        <w:numPr>
          <w:ilvl w:val="0"/>
          <w:numId w:val="1"/>
        </w:numPr>
      </w:pPr>
      <w:r>
        <w:t>potrošnja lijekova koji nisu uvršteni u važeće liste lijekova HZZO-a na teret „limita“ KBC-a Zagreb (14.910.699 EUR u 2025.),</w:t>
      </w:r>
    </w:p>
    <w:p w:rsidR="00EB6F6A" w:rsidRDefault="00286458">
      <w:pPr>
        <w:pStyle w:val="ListParagraph"/>
        <w:numPr>
          <w:ilvl w:val="0"/>
          <w:numId w:val="1"/>
        </w:numPr>
      </w:pPr>
      <w:r>
        <w:t>nema ograničenja liječenja pacijenata prema teritorijalnom ustroju bez obzira na mjesto stanov</w:t>
      </w:r>
      <w:r>
        <w:t xml:space="preserve">anja i dalje mnoge bolnice „prebacuju“ teret troškova skupe dijagnostike i skupog liječenja na KBC Zagreb bez obzira na raspoloživost odgovarajućih vlastitih stručnjaka i status Referentnih centara Ministarstva zdravstva te postojanja </w:t>
      </w:r>
      <w:proofErr w:type="spellStart"/>
      <w:r>
        <w:t>visokodiferentne</w:t>
      </w:r>
      <w:proofErr w:type="spellEnd"/>
      <w:r>
        <w:t xml:space="preserve"> i sk</w:t>
      </w:r>
      <w:r>
        <w:t>upe opreme (21.615.641 EUR u 2025.),</w:t>
      </w:r>
    </w:p>
    <w:p w:rsidR="00EB6F6A" w:rsidRDefault="00286458">
      <w:pPr>
        <w:pStyle w:val="ListParagraph"/>
        <w:numPr>
          <w:ilvl w:val="0"/>
          <w:numId w:val="1"/>
        </w:numPr>
      </w:pPr>
      <w:r>
        <w:t>troškovi zakonskih zateznih kamata obračunanih od strane dobavljača (</w:t>
      </w:r>
      <w:proofErr w:type="spellStart"/>
      <w:r>
        <w:t>veledrogerija</w:t>
      </w:r>
      <w:proofErr w:type="spellEnd"/>
      <w:r>
        <w:t>), temeljem kašnjenja u podmirivanju dospjelih obveza za isporučene lijekove i medicinski potrošni materijal. Ukupni trošak zakonskih zat</w:t>
      </w:r>
      <w:r>
        <w:t>eznih kamata knjižen u 2025. godini iznosi 9.741.925 EUR.</w:t>
      </w:r>
    </w:p>
    <w:p w:rsidR="00EB6F6A" w:rsidRDefault="00286458">
      <w:pPr>
        <w:pStyle w:val="ListParagraph"/>
        <w:numPr>
          <w:ilvl w:val="0"/>
          <w:numId w:val="1"/>
        </w:numPr>
      </w:pPr>
      <w:r>
        <w:t>smanjenje kapaciteta zbog potresom oštećene bolničke infrastrukture</w:t>
      </w:r>
    </w:p>
    <w:p w:rsidR="00EB6F6A" w:rsidRDefault="00286458">
      <w:pPr>
        <w:jc w:val="both"/>
      </w:pPr>
      <w:r>
        <w:t> </w:t>
      </w:r>
    </w:p>
    <w:p w:rsidR="00EB6F6A" w:rsidRDefault="00286458">
      <w:pPr>
        <w:jc w:val="both"/>
      </w:pPr>
      <w:r>
        <w:t>Vanjski čimbenik koji je pozitivno utjecao na financijski rezultat:</w:t>
      </w:r>
    </w:p>
    <w:p w:rsidR="00EB6F6A" w:rsidRDefault="00286458">
      <w:pPr>
        <w:pStyle w:val="ListParagraph"/>
        <w:numPr>
          <w:ilvl w:val="0"/>
          <w:numId w:val="2"/>
        </w:numPr>
      </w:pPr>
      <w:r>
        <w:t>Odluke Vlade Republike Hrvatske o isplati sredstava i namjen</w:t>
      </w:r>
      <w:r>
        <w:t xml:space="preserve">ske pomoći bolničkim zdravstvenim ustanovama kojima je osnivač Republika Hrvatska za podmirivanje dijela dospjelih obveza prema dobavljačima lijekova, potrošnog i </w:t>
      </w:r>
      <w:proofErr w:type="spellStart"/>
      <w:r>
        <w:t>ugradbenog</w:t>
      </w:r>
      <w:proofErr w:type="spellEnd"/>
      <w:r>
        <w:t xml:space="preserve"> medicinskog materijala - 55.070.191 EUR</w:t>
      </w:r>
    </w:p>
    <w:p w:rsidR="00EB6F6A" w:rsidRDefault="00286458">
      <w:pPr>
        <w:jc w:val="both"/>
      </w:pPr>
      <w:r>
        <w:t> </w:t>
      </w:r>
    </w:p>
    <w:p w:rsidR="00EB6F6A" w:rsidRDefault="00286458">
      <w:pPr>
        <w:jc w:val="both"/>
      </w:pPr>
      <w:r>
        <w:t>Uzroci ostvarenog rezultata poslovanja s</w:t>
      </w:r>
      <w:r>
        <w:t>u objektivne, a ne subjektivne okolnosti u poslovanju jer KBC Zagreb nije mogao utjecati na kretanje najvećeg dijela prihoda i rashoda koji su uvjetovani vanjskim čimbenicima.</w:t>
      </w:r>
    </w:p>
    <w:p w:rsidR="00EB6F6A" w:rsidRDefault="00286458">
      <w:r>
        <w:br/>
      </w:r>
    </w:p>
    <w:p w:rsidR="00EB6F6A" w:rsidRDefault="0028645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632</w:t>
            </w:r>
          </w:p>
        </w:tc>
        <w:tc>
          <w:tcPr>
            <w:tcW w:w="3180" w:type="dxa"/>
            <w:tcMar>
              <w:top w:w="0" w:type="dxa"/>
              <w:bottom w:w="0" w:type="dxa"/>
            </w:tcMar>
            <w:vAlign w:val="center"/>
          </w:tcPr>
          <w:p w:rsidR="00EB6F6A" w:rsidRDefault="00286458">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EB6F6A" w:rsidRDefault="00286458">
            <w:pPr>
              <w:keepNext/>
              <w:keepLines/>
              <w:spacing w:after="0" w:line="240" w:lineRule="auto"/>
            </w:pPr>
            <w:r>
              <w:rPr>
                <w:sz w:val="18"/>
              </w:rPr>
              <w:t>632</w:t>
            </w:r>
          </w:p>
        </w:tc>
        <w:tc>
          <w:tcPr>
            <w:tcW w:w="1860" w:type="dxa"/>
            <w:tcMar>
              <w:top w:w="0" w:type="dxa"/>
              <w:bottom w:w="0" w:type="dxa"/>
            </w:tcMar>
            <w:vAlign w:val="center"/>
          </w:tcPr>
          <w:p w:rsidR="00EB6F6A" w:rsidRDefault="00286458">
            <w:pPr>
              <w:keepNext/>
              <w:keepLines/>
              <w:spacing w:after="0" w:line="240" w:lineRule="auto"/>
              <w:jc w:val="right"/>
            </w:pPr>
            <w:r>
              <w:rPr>
                <w:sz w:val="18"/>
              </w:rPr>
              <w:t>258.700,48</w:t>
            </w:r>
          </w:p>
        </w:tc>
        <w:tc>
          <w:tcPr>
            <w:tcW w:w="1860" w:type="dxa"/>
            <w:tcMar>
              <w:top w:w="0" w:type="dxa"/>
              <w:bottom w:w="0" w:type="dxa"/>
            </w:tcMar>
            <w:vAlign w:val="center"/>
          </w:tcPr>
          <w:p w:rsidR="00EB6F6A" w:rsidRDefault="00286458">
            <w:pPr>
              <w:keepNext/>
              <w:keepLines/>
              <w:spacing w:after="0" w:line="240" w:lineRule="auto"/>
              <w:jc w:val="right"/>
            </w:pPr>
            <w:r>
              <w:rPr>
                <w:sz w:val="18"/>
              </w:rPr>
              <w:t>77.421,41</w:t>
            </w:r>
          </w:p>
        </w:tc>
        <w:tc>
          <w:tcPr>
            <w:tcW w:w="700" w:type="dxa"/>
            <w:tcMar>
              <w:top w:w="0" w:type="dxa"/>
              <w:bottom w:w="0" w:type="dxa"/>
            </w:tcMar>
            <w:vAlign w:val="center"/>
          </w:tcPr>
          <w:p w:rsidR="00EB6F6A" w:rsidRDefault="00286458">
            <w:pPr>
              <w:keepNext/>
              <w:keepLines/>
              <w:spacing w:after="0" w:line="240" w:lineRule="auto"/>
              <w:jc w:val="right"/>
            </w:pPr>
            <w:r>
              <w:rPr>
                <w:sz w:val="18"/>
              </w:rPr>
              <w:t>29,9</w:t>
            </w:r>
          </w:p>
        </w:tc>
      </w:tr>
    </w:tbl>
    <w:p w:rsidR="00EB6F6A" w:rsidRDefault="00EB6F6A">
      <w:pPr>
        <w:spacing w:after="0"/>
      </w:pPr>
    </w:p>
    <w:p w:rsidR="00EB6F6A" w:rsidRDefault="00286458">
      <w:pPr>
        <w:jc w:val="both"/>
      </w:pPr>
      <w:r>
        <w:t>Pomoći od međunarodnih organizacija te institucija i tijela EU (šifra 632) u razdoblju od 1. siječnja do 31. prosinca 2025. godine iznose 77.421 EUR. Smanjenje pomoći od međunarodnih organizacija te institucija i tijela EU u razdoblju od 1. siječnja do 31.</w:t>
      </w:r>
      <w:r>
        <w:t xml:space="preserve"> prosinca 2025. godine u odnosu na isto razdoblje prethodne godine iznosi 70,1%, a rezultat je </w:t>
      </w:r>
      <w:r>
        <w:lastRenderedPageBreak/>
        <w:t xml:space="preserve">promjene u načinu evidentiranja sredstava Europske unije od 1. siječnja 2025. godine. U 2024. godini primljene uplate za projekte financirane iz EU evidentirane </w:t>
      </w:r>
      <w:r>
        <w:t>su kao prihod, dok od 1. siječnja 2025. godine, sukladno novoj metodologiji priznavanja prihoda i rashoda EU tijekova, za uplate za navedene projekte iskazana je obveza za primljeni predujam od programskog tijela nadležnog za ugovaranje i isplatu sredstava</w:t>
      </w:r>
      <w:r>
        <w:t>.</w:t>
      </w:r>
    </w:p>
    <w:p w:rsidR="00EB6F6A" w:rsidRDefault="00EB6F6A"/>
    <w:p w:rsidR="00EB6F6A" w:rsidRDefault="0028645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634</w:t>
            </w:r>
          </w:p>
        </w:tc>
        <w:tc>
          <w:tcPr>
            <w:tcW w:w="3180" w:type="dxa"/>
            <w:tcMar>
              <w:top w:w="0" w:type="dxa"/>
              <w:bottom w:w="0" w:type="dxa"/>
            </w:tcMar>
            <w:vAlign w:val="center"/>
          </w:tcPr>
          <w:p w:rsidR="00EB6F6A" w:rsidRDefault="00286458">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EB6F6A" w:rsidRDefault="00286458">
            <w:pPr>
              <w:keepNext/>
              <w:keepLines/>
              <w:spacing w:after="0" w:line="240" w:lineRule="auto"/>
            </w:pPr>
            <w:r>
              <w:rPr>
                <w:sz w:val="18"/>
              </w:rPr>
              <w:t>634</w:t>
            </w:r>
          </w:p>
        </w:tc>
        <w:tc>
          <w:tcPr>
            <w:tcW w:w="1860" w:type="dxa"/>
            <w:tcMar>
              <w:top w:w="0" w:type="dxa"/>
              <w:bottom w:w="0" w:type="dxa"/>
            </w:tcMar>
            <w:vAlign w:val="center"/>
          </w:tcPr>
          <w:p w:rsidR="00EB6F6A" w:rsidRDefault="00286458">
            <w:pPr>
              <w:keepNext/>
              <w:keepLines/>
              <w:spacing w:after="0" w:line="240" w:lineRule="auto"/>
              <w:jc w:val="right"/>
            </w:pPr>
            <w:r>
              <w:rPr>
                <w:sz w:val="18"/>
              </w:rPr>
              <w:t>13.448.416,22</w:t>
            </w:r>
          </w:p>
        </w:tc>
        <w:tc>
          <w:tcPr>
            <w:tcW w:w="1860" w:type="dxa"/>
            <w:tcMar>
              <w:top w:w="0" w:type="dxa"/>
              <w:bottom w:w="0" w:type="dxa"/>
            </w:tcMar>
            <w:vAlign w:val="center"/>
          </w:tcPr>
          <w:p w:rsidR="00EB6F6A" w:rsidRDefault="00286458">
            <w:pPr>
              <w:keepNext/>
              <w:keepLines/>
              <w:spacing w:after="0" w:line="240" w:lineRule="auto"/>
              <w:jc w:val="right"/>
            </w:pPr>
            <w:r>
              <w:rPr>
                <w:sz w:val="18"/>
              </w:rPr>
              <w:t>18.743.137,00</w:t>
            </w:r>
          </w:p>
        </w:tc>
        <w:tc>
          <w:tcPr>
            <w:tcW w:w="700" w:type="dxa"/>
            <w:tcMar>
              <w:top w:w="0" w:type="dxa"/>
              <w:bottom w:w="0" w:type="dxa"/>
            </w:tcMar>
            <w:vAlign w:val="center"/>
          </w:tcPr>
          <w:p w:rsidR="00EB6F6A" w:rsidRDefault="00286458">
            <w:pPr>
              <w:keepNext/>
              <w:keepLines/>
              <w:spacing w:after="0" w:line="240" w:lineRule="auto"/>
              <w:jc w:val="right"/>
            </w:pPr>
            <w:r>
              <w:rPr>
                <w:sz w:val="18"/>
              </w:rPr>
              <w:t>139,4</w:t>
            </w:r>
          </w:p>
        </w:tc>
      </w:tr>
    </w:tbl>
    <w:p w:rsidR="00EB6F6A" w:rsidRDefault="00EB6F6A">
      <w:pPr>
        <w:spacing w:after="0"/>
      </w:pPr>
    </w:p>
    <w:p w:rsidR="00EB6F6A" w:rsidRDefault="00286458">
      <w:pPr>
        <w:jc w:val="both"/>
      </w:pPr>
      <w:r>
        <w:t>Pomoći od izvanproračunskih korisnika (šifra 634) u razdoblju od 1. siječnja do 31. prosinca 2025. godine iznose 18.743.137 EUR. Povećanje pomoći od izvanproračunskih korisnika u razdoblju od 1. siječnja do 31. prosinca 2025. godine u odnosu na isto razdob</w:t>
      </w:r>
      <w:r>
        <w:t>lje prethodne godine iznosi 39,4%, a rezultat je doznačenih sredstava od HZZO-a, sukladno Odluci Vlade Republike Hrvatske o isplati namjenske pomoći bolničkim zdravstvenim ustanovama za podmirivanje dijela dospjelih obveza prema dobavljačima lijekova, potr</w:t>
      </w:r>
      <w:r>
        <w:t xml:space="preserve">ošnog i </w:t>
      </w:r>
      <w:proofErr w:type="spellStart"/>
      <w:r>
        <w:t>ugradbenog</w:t>
      </w:r>
      <w:proofErr w:type="spellEnd"/>
      <w:r>
        <w:t xml:space="preserve"> medicinskog materijala.</w:t>
      </w:r>
    </w:p>
    <w:p w:rsidR="00EB6F6A" w:rsidRDefault="00EB6F6A"/>
    <w:p w:rsidR="00EB6F6A" w:rsidRDefault="0028645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639</w:t>
            </w:r>
          </w:p>
        </w:tc>
        <w:tc>
          <w:tcPr>
            <w:tcW w:w="3180" w:type="dxa"/>
            <w:tcMar>
              <w:top w:w="0" w:type="dxa"/>
              <w:bottom w:w="0" w:type="dxa"/>
            </w:tcMar>
            <w:vAlign w:val="center"/>
          </w:tcPr>
          <w:p w:rsidR="00EB6F6A" w:rsidRDefault="00286458">
            <w:pPr>
              <w:keepNext/>
              <w:keepLines/>
              <w:spacing w:after="0" w:line="240" w:lineRule="auto"/>
            </w:pPr>
            <w:r>
              <w:rPr>
                <w:sz w:val="18"/>
              </w:rPr>
              <w:t>Prijenosi između proračunskih korisnika istog</w:t>
            </w:r>
            <w:r>
              <w:rPr>
                <w:sz w:val="18"/>
              </w:rPr>
              <w:t xml:space="preserve"> proračuna (šifre 6391 do 6394)</w:t>
            </w:r>
          </w:p>
        </w:tc>
        <w:tc>
          <w:tcPr>
            <w:tcW w:w="700" w:type="dxa"/>
            <w:tcMar>
              <w:top w:w="0" w:type="dxa"/>
              <w:bottom w:w="0" w:type="dxa"/>
            </w:tcMar>
            <w:vAlign w:val="center"/>
          </w:tcPr>
          <w:p w:rsidR="00EB6F6A" w:rsidRDefault="00286458">
            <w:pPr>
              <w:keepNext/>
              <w:keepLines/>
              <w:spacing w:after="0" w:line="240" w:lineRule="auto"/>
            </w:pPr>
            <w:r>
              <w:rPr>
                <w:sz w:val="18"/>
              </w:rPr>
              <w:t>639</w:t>
            </w:r>
          </w:p>
        </w:tc>
        <w:tc>
          <w:tcPr>
            <w:tcW w:w="1860" w:type="dxa"/>
            <w:tcMar>
              <w:top w:w="0" w:type="dxa"/>
              <w:bottom w:w="0" w:type="dxa"/>
            </w:tcMar>
            <w:vAlign w:val="center"/>
          </w:tcPr>
          <w:p w:rsidR="00EB6F6A" w:rsidRDefault="00286458">
            <w:pPr>
              <w:keepNext/>
              <w:keepLines/>
              <w:spacing w:after="0" w:line="240" w:lineRule="auto"/>
              <w:jc w:val="right"/>
            </w:pPr>
            <w:r>
              <w:rPr>
                <w:sz w:val="18"/>
              </w:rPr>
              <w:t>394.877,78</w:t>
            </w:r>
          </w:p>
        </w:tc>
        <w:tc>
          <w:tcPr>
            <w:tcW w:w="1860" w:type="dxa"/>
            <w:tcMar>
              <w:top w:w="0" w:type="dxa"/>
              <w:bottom w:w="0" w:type="dxa"/>
            </w:tcMar>
            <w:vAlign w:val="center"/>
          </w:tcPr>
          <w:p w:rsidR="00EB6F6A" w:rsidRDefault="00286458">
            <w:pPr>
              <w:keepNext/>
              <w:keepLines/>
              <w:spacing w:after="0" w:line="240" w:lineRule="auto"/>
              <w:jc w:val="right"/>
            </w:pPr>
            <w:r>
              <w:rPr>
                <w:sz w:val="18"/>
              </w:rPr>
              <w:t>82.370,25</w:t>
            </w:r>
          </w:p>
        </w:tc>
        <w:tc>
          <w:tcPr>
            <w:tcW w:w="700" w:type="dxa"/>
            <w:tcMar>
              <w:top w:w="0" w:type="dxa"/>
              <w:bottom w:w="0" w:type="dxa"/>
            </w:tcMar>
            <w:vAlign w:val="center"/>
          </w:tcPr>
          <w:p w:rsidR="00EB6F6A" w:rsidRDefault="00286458">
            <w:pPr>
              <w:keepNext/>
              <w:keepLines/>
              <w:spacing w:after="0" w:line="240" w:lineRule="auto"/>
              <w:jc w:val="right"/>
            </w:pPr>
            <w:r>
              <w:rPr>
                <w:sz w:val="18"/>
              </w:rPr>
              <w:t>20,9</w:t>
            </w:r>
          </w:p>
        </w:tc>
      </w:tr>
    </w:tbl>
    <w:p w:rsidR="00EB6F6A" w:rsidRDefault="00EB6F6A">
      <w:pPr>
        <w:spacing w:after="0"/>
      </w:pPr>
    </w:p>
    <w:p w:rsidR="00EB6F6A" w:rsidRDefault="00286458">
      <w:pPr>
        <w:jc w:val="both"/>
      </w:pPr>
      <w:r>
        <w:t xml:space="preserve">Prijenosi između proračunskih korisnika istog proračuna (šifra 639) u razdoblju od 1. siječnja do 31. prosinca 2025. godine iznose 82.370 EUR, što predstavljam smanjenje od 79,1% u odnosu na isto razdoblje prethodne godine. U 2024. godini, sukladno Odluci </w:t>
      </w:r>
      <w:r>
        <w:t xml:space="preserve">Ministarstva zdravstva o osiguravanju financijskih sredstava za provedbu projekta C5.1. R4-I1 Centralna priprava svih </w:t>
      </w:r>
      <w:proofErr w:type="spellStart"/>
      <w:r>
        <w:t>parenteralnih</w:t>
      </w:r>
      <w:proofErr w:type="spellEnd"/>
      <w:r>
        <w:t xml:space="preserve"> pripravaka u 8 hrvatskih bolnica, KLASA: 500-01/22-01/20, URBROJ: 534-03-2-1/1-23-13 od 6.12.2023., Ministarstvo zdravstva j</w:t>
      </w:r>
      <w:r>
        <w:t xml:space="preserve">e izvršilo prijenos sredstava KBC-u Zagreb u iznosu od 394.878 EUR. U 2025. godini prijenosi između proračunskih korisnika istog proračuna ostvareni su od KBC Sestre Milosrdnice u okviru projekta </w:t>
      </w:r>
      <w:proofErr w:type="spellStart"/>
      <w:r>
        <w:t>Joint</w:t>
      </w:r>
      <w:proofErr w:type="spellEnd"/>
      <w:r>
        <w:t xml:space="preserve"> </w:t>
      </w:r>
      <w:proofErr w:type="spellStart"/>
      <w:r>
        <w:t>Action</w:t>
      </w:r>
      <w:proofErr w:type="spellEnd"/>
      <w:r>
        <w:t xml:space="preserve"> on </w:t>
      </w:r>
      <w:proofErr w:type="spellStart"/>
      <w:r>
        <w:t>Networks</w:t>
      </w:r>
      <w:proofErr w:type="spellEnd"/>
      <w:r>
        <w:t xml:space="preserve"> </w:t>
      </w:r>
      <w:proofErr w:type="spellStart"/>
      <w:r>
        <w:t>of</w:t>
      </w:r>
      <w:proofErr w:type="spellEnd"/>
      <w:r>
        <w:t xml:space="preserve"> </w:t>
      </w:r>
      <w:proofErr w:type="spellStart"/>
      <w:r>
        <w:t>Expertise</w:t>
      </w:r>
      <w:proofErr w:type="spellEnd"/>
      <w:r>
        <w:t xml:space="preserve"> on </w:t>
      </w:r>
      <w:proofErr w:type="spellStart"/>
      <w:r>
        <w:t>Cancer</w:t>
      </w:r>
      <w:proofErr w:type="spellEnd"/>
      <w:r>
        <w:t xml:space="preserve"> (JANE-2) u i</w:t>
      </w:r>
      <w:r>
        <w:t>znosu od 82.370 EUR.</w:t>
      </w:r>
    </w:p>
    <w:p w:rsidR="00EB6F6A" w:rsidRDefault="00EB6F6A"/>
    <w:p w:rsidR="00EB6F6A" w:rsidRDefault="00286458">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652</w:t>
            </w:r>
          </w:p>
        </w:tc>
        <w:tc>
          <w:tcPr>
            <w:tcW w:w="3180" w:type="dxa"/>
            <w:tcMar>
              <w:top w:w="0" w:type="dxa"/>
              <w:bottom w:w="0" w:type="dxa"/>
            </w:tcMar>
            <w:vAlign w:val="center"/>
          </w:tcPr>
          <w:p w:rsidR="00EB6F6A" w:rsidRDefault="00286458">
            <w:pPr>
              <w:keepNext/>
              <w:keepLines/>
              <w:spacing w:after="0" w:line="240" w:lineRule="auto"/>
            </w:pPr>
            <w:r>
              <w:rPr>
                <w:sz w:val="18"/>
              </w:rPr>
              <w:t>Prihodi po posebnim propisima (šifre 6521 do 6528)</w:t>
            </w:r>
          </w:p>
        </w:tc>
        <w:tc>
          <w:tcPr>
            <w:tcW w:w="700" w:type="dxa"/>
            <w:tcMar>
              <w:top w:w="0" w:type="dxa"/>
              <w:bottom w:w="0" w:type="dxa"/>
            </w:tcMar>
            <w:vAlign w:val="center"/>
          </w:tcPr>
          <w:p w:rsidR="00EB6F6A" w:rsidRDefault="00286458">
            <w:pPr>
              <w:keepNext/>
              <w:keepLines/>
              <w:spacing w:after="0" w:line="240" w:lineRule="auto"/>
            </w:pPr>
            <w:r>
              <w:rPr>
                <w:sz w:val="18"/>
              </w:rPr>
              <w:t>652</w:t>
            </w:r>
          </w:p>
        </w:tc>
        <w:tc>
          <w:tcPr>
            <w:tcW w:w="1860" w:type="dxa"/>
            <w:tcMar>
              <w:top w:w="0" w:type="dxa"/>
              <w:bottom w:w="0" w:type="dxa"/>
            </w:tcMar>
            <w:vAlign w:val="center"/>
          </w:tcPr>
          <w:p w:rsidR="00EB6F6A" w:rsidRDefault="00286458">
            <w:pPr>
              <w:keepNext/>
              <w:keepLines/>
              <w:spacing w:after="0" w:line="240" w:lineRule="auto"/>
              <w:jc w:val="right"/>
            </w:pPr>
            <w:r>
              <w:rPr>
                <w:sz w:val="18"/>
              </w:rPr>
              <w:t>28.113.254,16</w:t>
            </w:r>
          </w:p>
        </w:tc>
        <w:tc>
          <w:tcPr>
            <w:tcW w:w="1860" w:type="dxa"/>
            <w:tcMar>
              <w:top w:w="0" w:type="dxa"/>
              <w:bottom w:w="0" w:type="dxa"/>
            </w:tcMar>
            <w:vAlign w:val="center"/>
          </w:tcPr>
          <w:p w:rsidR="00EB6F6A" w:rsidRDefault="00286458">
            <w:pPr>
              <w:keepNext/>
              <w:keepLines/>
              <w:spacing w:after="0" w:line="240" w:lineRule="auto"/>
              <w:jc w:val="right"/>
            </w:pPr>
            <w:r>
              <w:rPr>
                <w:sz w:val="18"/>
              </w:rPr>
              <w:t>27.497.180,21</w:t>
            </w:r>
          </w:p>
        </w:tc>
        <w:tc>
          <w:tcPr>
            <w:tcW w:w="700" w:type="dxa"/>
            <w:tcMar>
              <w:top w:w="0" w:type="dxa"/>
              <w:bottom w:w="0" w:type="dxa"/>
            </w:tcMar>
            <w:vAlign w:val="center"/>
          </w:tcPr>
          <w:p w:rsidR="00EB6F6A" w:rsidRDefault="00286458">
            <w:pPr>
              <w:keepNext/>
              <w:keepLines/>
              <w:spacing w:after="0" w:line="240" w:lineRule="auto"/>
              <w:jc w:val="right"/>
            </w:pPr>
            <w:r>
              <w:rPr>
                <w:sz w:val="18"/>
              </w:rPr>
              <w:t>97,8</w:t>
            </w:r>
          </w:p>
        </w:tc>
      </w:tr>
    </w:tbl>
    <w:p w:rsidR="00EB6F6A" w:rsidRDefault="00EB6F6A">
      <w:pPr>
        <w:spacing w:after="0"/>
      </w:pPr>
    </w:p>
    <w:p w:rsidR="00EB6F6A" w:rsidRDefault="00286458">
      <w:pPr>
        <w:jc w:val="both"/>
      </w:pPr>
      <w:r>
        <w:t>Prihodi po posebnim propisima (Šifra 652) u razdoblju od 1. siječnja do 31. prosinca 2025. godine iznose 27.497.180 EUR. Smanjenje prihoda po posebnim propisima (dopunsko zdravstveno osiguranje i participacije) u razdoblju od 1. siječnja do 31. prosinca 20</w:t>
      </w:r>
      <w:r>
        <w:t>25. godine u odnosu na isto razdoblje prethodne godine iznosi 2,2%, a rezultata je manje ostvarenih prihoda od dopunskog zdravstvenog osiguranja HZZO-a.</w:t>
      </w:r>
    </w:p>
    <w:p w:rsidR="00EB6F6A" w:rsidRDefault="00EB6F6A"/>
    <w:p w:rsidR="00EB6F6A" w:rsidRDefault="00286458">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66</w:t>
            </w:r>
          </w:p>
        </w:tc>
        <w:tc>
          <w:tcPr>
            <w:tcW w:w="3180" w:type="dxa"/>
            <w:tcMar>
              <w:top w:w="0" w:type="dxa"/>
              <w:bottom w:w="0" w:type="dxa"/>
            </w:tcMar>
            <w:vAlign w:val="center"/>
          </w:tcPr>
          <w:p w:rsidR="00EB6F6A" w:rsidRDefault="00286458">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EB6F6A" w:rsidRDefault="00286458">
            <w:pPr>
              <w:keepNext/>
              <w:keepLines/>
              <w:spacing w:after="0" w:line="240" w:lineRule="auto"/>
            </w:pPr>
            <w:r>
              <w:rPr>
                <w:sz w:val="18"/>
              </w:rPr>
              <w:t>66</w:t>
            </w:r>
          </w:p>
        </w:tc>
        <w:tc>
          <w:tcPr>
            <w:tcW w:w="1860" w:type="dxa"/>
            <w:tcMar>
              <w:top w:w="0" w:type="dxa"/>
              <w:bottom w:w="0" w:type="dxa"/>
            </w:tcMar>
            <w:vAlign w:val="center"/>
          </w:tcPr>
          <w:p w:rsidR="00EB6F6A" w:rsidRDefault="00286458">
            <w:pPr>
              <w:keepNext/>
              <w:keepLines/>
              <w:spacing w:after="0" w:line="240" w:lineRule="auto"/>
              <w:jc w:val="right"/>
            </w:pPr>
            <w:r>
              <w:rPr>
                <w:sz w:val="18"/>
              </w:rPr>
              <w:t>35.370.718,59</w:t>
            </w:r>
          </w:p>
        </w:tc>
        <w:tc>
          <w:tcPr>
            <w:tcW w:w="1860" w:type="dxa"/>
            <w:tcMar>
              <w:top w:w="0" w:type="dxa"/>
              <w:bottom w:w="0" w:type="dxa"/>
            </w:tcMar>
            <w:vAlign w:val="center"/>
          </w:tcPr>
          <w:p w:rsidR="00EB6F6A" w:rsidRDefault="00286458">
            <w:pPr>
              <w:keepNext/>
              <w:keepLines/>
              <w:spacing w:after="0" w:line="240" w:lineRule="auto"/>
              <w:jc w:val="right"/>
            </w:pPr>
            <w:r>
              <w:rPr>
                <w:sz w:val="18"/>
              </w:rPr>
              <w:t>25.416.184,19</w:t>
            </w:r>
          </w:p>
        </w:tc>
        <w:tc>
          <w:tcPr>
            <w:tcW w:w="700" w:type="dxa"/>
            <w:tcMar>
              <w:top w:w="0" w:type="dxa"/>
              <w:bottom w:w="0" w:type="dxa"/>
            </w:tcMar>
            <w:vAlign w:val="center"/>
          </w:tcPr>
          <w:p w:rsidR="00EB6F6A" w:rsidRDefault="00286458">
            <w:pPr>
              <w:keepNext/>
              <w:keepLines/>
              <w:spacing w:after="0" w:line="240" w:lineRule="auto"/>
              <w:jc w:val="right"/>
            </w:pPr>
            <w:r>
              <w:rPr>
                <w:sz w:val="18"/>
              </w:rPr>
              <w:t>71,9</w:t>
            </w:r>
          </w:p>
        </w:tc>
      </w:tr>
    </w:tbl>
    <w:p w:rsidR="00EB6F6A" w:rsidRDefault="00EB6F6A">
      <w:pPr>
        <w:spacing w:after="0"/>
      </w:pPr>
    </w:p>
    <w:p w:rsidR="00EB6F6A" w:rsidRDefault="00286458">
      <w:pPr>
        <w:jc w:val="both"/>
      </w:pPr>
      <w:r>
        <w:t xml:space="preserve">Prihodi od prodaje proizvoda i robe te pruženih usluga i prihodi od donacija (Šifra 66) u razdoblju od 1. siječnja do 31. prosinca 2025. godine iznose 25.416.184 EUR. Smanjenje prihoda od prodaje proizvoda i robe te pruženih usluga i prihodi od donacija u </w:t>
      </w:r>
      <w:r>
        <w:t>razdoblju od 1. siječnja do 31. prosinca 2025. godine u odnosu na isto razdoblje prethodne godine iznosi 28,1%, a rezultat je manje ostvarenih prihoda od primljenih kapitalnih donacija od trgovačkih društava.</w:t>
      </w:r>
    </w:p>
    <w:p w:rsidR="00EB6F6A" w:rsidRDefault="00EB6F6A"/>
    <w:p w:rsidR="00EB6F6A" w:rsidRDefault="0028645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661</w:t>
            </w:r>
          </w:p>
        </w:tc>
        <w:tc>
          <w:tcPr>
            <w:tcW w:w="3180" w:type="dxa"/>
            <w:tcMar>
              <w:top w:w="0" w:type="dxa"/>
              <w:bottom w:w="0" w:type="dxa"/>
            </w:tcMar>
            <w:vAlign w:val="center"/>
          </w:tcPr>
          <w:p w:rsidR="00EB6F6A" w:rsidRDefault="00286458">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EB6F6A" w:rsidRDefault="00286458">
            <w:pPr>
              <w:keepNext/>
              <w:keepLines/>
              <w:spacing w:after="0" w:line="240" w:lineRule="auto"/>
            </w:pPr>
            <w:r>
              <w:rPr>
                <w:sz w:val="18"/>
              </w:rPr>
              <w:t>661</w:t>
            </w:r>
          </w:p>
        </w:tc>
        <w:tc>
          <w:tcPr>
            <w:tcW w:w="1860" w:type="dxa"/>
            <w:tcMar>
              <w:top w:w="0" w:type="dxa"/>
              <w:bottom w:w="0" w:type="dxa"/>
            </w:tcMar>
            <w:vAlign w:val="center"/>
          </w:tcPr>
          <w:p w:rsidR="00EB6F6A" w:rsidRDefault="00286458">
            <w:pPr>
              <w:keepNext/>
              <w:keepLines/>
              <w:spacing w:after="0" w:line="240" w:lineRule="auto"/>
              <w:jc w:val="right"/>
            </w:pPr>
            <w:r>
              <w:rPr>
                <w:sz w:val="18"/>
              </w:rPr>
              <w:t>15.854.840,02</w:t>
            </w:r>
          </w:p>
        </w:tc>
        <w:tc>
          <w:tcPr>
            <w:tcW w:w="1860" w:type="dxa"/>
            <w:tcMar>
              <w:top w:w="0" w:type="dxa"/>
              <w:bottom w:w="0" w:type="dxa"/>
            </w:tcMar>
            <w:vAlign w:val="center"/>
          </w:tcPr>
          <w:p w:rsidR="00EB6F6A" w:rsidRDefault="00286458">
            <w:pPr>
              <w:keepNext/>
              <w:keepLines/>
              <w:spacing w:after="0" w:line="240" w:lineRule="auto"/>
              <w:jc w:val="right"/>
            </w:pPr>
            <w:r>
              <w:rPr>
                <w:sz w:val="18"/>
              </w:rPr>
              <w:t>16.119.936,39</w:t>
            </w:r>
          </w:p>
        </w:tc>
        <w:tc>
          <w:tcPr>
            <w:tcW w:w="700" w:type="dxa"/>
            <w:tcMar>
              <w:top w:w="0" w:type="dxa"/>
              <w:bottom w:w="0" w:type="dxa"/>
            </w:tcMar>
            <w:vAlign w:val="center"/>
          </w:tcPr>
          <w:p w:rsidR="00EB6F6A" w:rsidRDefault="00286458">
            <w:pPr>
              <w:keepNext/>
              <w:keepLines/>
              <w:spacing w:after="0" w:line="240" w:lineRule="auto"/>
              <w:jc w:val="right"/>
            </w:pPr>
            <w:r>
              <w:rPr>
                <w:sz w:val="18"/>
              </w:rPr>
              <w:t>101,7</w:t>
            </w:r>
          </w:p>
        </w:tc>
      </w:tr>
    </w:tbl>
    <w:p w:rsidR="00EB6F6A" w:rsidRDefault="00EB6F6A">
      <w:pPr>
        <w:spacing w:after="0"/>
      </w:pPr>
    </w:p>
    <w:p w:rsidR="00EB6F6A" w:rsidRDefault="00286458">
      <w:pPr>
        <w:jc w:val="both"/>
      </w:pPr>
      <w:r>
        <w:t>Prihodi od prodaje proizvoda i robe te pruženih usluga (Šifra 661) (</w:t>
      </w:r>
      <w:proofErr w:type="spellStart"/>
      <w:r>
        <w:t>suradne</w:t>
      </w:r>
      <w:proofErr w:type="spellEnd"/>
      <w:r>
        <w:t xml:space="preserve"> zdravstvene ustanove, klinička ispitivanja, zakupi, tečajevi i dr.) u razdoblju od 1. siječnja do 31. prosinca 2025. godine iznose 16.119.936 EUR. Povećanje prihoda od prodaje proi</w:t>
      </w:r>
      <w:r>
        <w:t xml:space="preserve">zvoda i robe te pruženih usluga u razdoblju od 1. siječnja do 31. prosinca 2025. godine u odnosu na isto razdoblje prethodne godine iznosi 1,7%, a rezultat je više ostvarenih prihoda za zdravstvene usluge od fizičkih i pravnih osoba te </w:t>
      </w:r>
      <w:proofErr w:type="spellStart"/>
      <w:r>
        <w:t>suradnih</w:t>
      </w:r>
      <w:proofErr w:type="spellEnd"/>
      <w:r>
        <w:t xml:space="preserve"> zdravstveni</w:t>
      </w:r>
      <w:r>
        <w:t>h ustanova.</w:t>
      </w:r>
    </w:p>
    <w:p w:rsidR="00EB6F6A" w:rsidRDefault="00EB6F6A"/>
    <w:p w:rsidR="00EB6F6A" w:rsidRDefault="00286458">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663</w:t>
            </w:r>
          </w:p>
        </w:tc>
        <w:tc>
          <w:tcPr>
            <w:tcW w:w="3180" w:type="dxa"/>
            <w:tcMar>
              <w:top w:w="0" w:type="dxa"/>
              <w:bottom w:w="0" w:type="dxa"/>
            </w:tcMar>
            <w:vAlign w:val="center"/>
          </w:tcPr>
          <w:p w:rsidR="00EB6F6A" w:rsidRDefault="00286458">
            <w:pPr>
              <w:keepNext/>
              <w:keepLines/>
              <w:spacing w:after="0" w:line="240" w:lineRule="auto"/>
            </w:pPr>
            <w:r>
              <w:rPr>
                <w:sz w:val="18"/>
              </w:rPr>
              <w:t xml:space="preserve">Donacije od pravnih i fizičkih osoba izvan općeg proračuna te povrat </w:t>
            </w:r>
            <w:r>
              <w:rPr>
                <w:sz w:val="18"/>
              </w:rPr>
              <w:t>donacija i kapitalnih pomoći po protestiranim jamstvima (šifre 6631 do 6634)</w:t>
            </w:r>
          </w:p>
        </w:tc>
        <w:tc>
          <w:tcPr>
            <w:tcW w:w="700" w:type="dxa"/>
            <w:tcMar>
              <w:top w:w="0" w:type="dxa"/>
              <w:bottom w:w="0" w:type="dxa"/>
            </w:tcMar>
            <w:vAlign w:val="center"/>
          </w:tcPr>
          <w:p w:rsidR="00EB6F6A" w:rsidRDefault="00286458">
            <w:pPr>
              <w:keepNext/>
              <w:keepLines/>
              <w:spacing w:after="0" w:line="240" w:lineRule="auto"/>
            </w:pPr>
            <w:r>
              <w:rPr>
                <w:sz w:val="18"/>
              </w:rPr>
              <w:t>663</w:t>
            </w:r>
          </w:p>
        </w:tc>
        <w:tc>
          <w:tcPr>
            <w:tcW w:w="1860" w:type="dxa"/>
            <w:tcMar>
              <w:top w:w="0" w:type="dxa"/>
              <w:bottom w:w="0" w:type="dxa"/>
            </w:tcMar>
            <w:vAlign w:val="center"/>
          </w:tcPr>
          <w:p w:rsidR="00EB6F6A" w:rsidRDefault="00286458">
            <w:pPr>
              <w:keepNext/>
              <w:keepLines/>
              <w:spacing w:after="0" w:line="240" w:lineRule="auto"/>
              <w:jc w:val="right"/>
            </w:pPr>
            <w:r>
              <w:rPr>
                <w:sz w:val="18"/>
              </w:rPr>
              <w:t>19.515.878,57</w:t>
            </w:r>
          </w:p>
        </w:tc>
        <w:tc>
          <w:tcPr>
            <w:tcW w:w="1860" w:type="dxa"/>
            <w:tcMar>
              <w:top w:w="0" w:type="dxa"/>
              <w:bottom w:w="0" w:type="dxa"/>
            </w:tcMar>
            <w:vAlign w:val="center"/>
          </w:tcPr>
          <w:p w:rsidR="00EB6F6A" w:rsidRDefault="00286458">
            <w:pPr>
              <w:keepNext/>
              <w:keepLines/>
              <w:spacing w:after="0" w:line="240" w:lineRule="auto"/>
              <w:jc w:val="right"/>
            </w:pPr>
            <w:r>
              <w:rPr>
                <w:sz w:val="18"/>
              </w:rPr>
              <w:t>9.296.247,80</w:t>
            </w:r>
          </w:p>
        </w:tc>
        <w:tc>
          <w:tcPr>
            <w:tcW w:w="700" w:type="dxa"/>
            <w:tcMar>
              <w:top w:w="0" w:type="dxa"/>
              <w:bottom w:w="0" w:type="dxa"/>
            </w:tcMar>
            <w:vAlign w:val="center"/>
          </w:tcPr>
          <w:p w:rsidR="00EB6F6A" w:rsidRDefault="00286458">
            <w:pPr>
              <w:keepNext/>
              <w:keepLines/>
              <w:spacing w:after="0" w:line="240" w:lineRule="auto"/>
              <w:jc w:val="right"/>
            </w:pPr>
            <w:r>
              <w:rPr>
                <w:sz w:val="18"/>
              </w:rPr>
              <w:t>47,6</w:t>
            </w:r>
          </w:p>
        </w:tc>
      </w:tr>
    </w:tbl>
    <w:p w:rsidR="00EB6F6A" w:rsidRDefault="00EB6F6A">
      <w:pPr>
        <w:spacing w:after="0"/>
      </w:pPr>
    </w:p>
    <w:p w:rsidR="00EB6F6A" w:rsidRDefault="00286458">
      <w:pPr>
        <w:jc w:val="both"/>
      </w:pPr>
      <w:r>
        <w:t>Prihodi od donacija od pravnih i fizičkih osoba izvan općeg proračuna (Šifra 663) (lijekovi, medicinska i nemedicinska oprema te financijske donacije) prema proračunskom računovodstvu u razdoblju od 1. siječnja do 31. prosinca 2025. godine ostvareni su u i</w:t>
      </w:r>
      <w:r>
        <w:t>znosu od 9.296.248 EUR što je za 52,4% manje u odnosu na isto razdoblje prethodne godine. U razdoblju od 1. siječnja do 31. prosinca 2025. godine primljene su donacije lijekova i medicinskog potrošnog materijala od trgovačkih društava u iznosu od 8.939.764</w:t>
      </w:r>
      <w:r>
        <w:t xml:space="preserve"> EUR.</w:t>
      </w:r>
    </w:p>
    <w:p w:rsidR="00EB6F6A" w:rsidRDefault="00286458">
      <w:pPr>
        <w:jc w:val="both"/>
      </w:pPr>
      <w:r>
        <w:t>U razdoblju od 1. siječnja do 31. prosinca 2025. godine primljene su kapitalne donacije (donacije u novcu namijenjene za kapitalna ulaganja – nabava opreme i donacije u stvarima – opremi) u iznosu od 138.638 EUR od čega se najznačajnije stavke odnose</w:t>
      </w:r>
      <w:r>
        <w:t xml:space="preserve"> na donacije trgovačkih društava u opremi (neurokirurška bušilica, UZV uređaj, medicinski uređaj </w:t>
      </w:r>
      <w:proofErr w:type="spellStart"/>
      <w:r>
        <w:t>Bodystat</w:t>
      </w:r>
      <w:proofErr w:type="spellEnd"/>
      <w:r>
        <w:t xml:space="preserve"> </w:t>
      </w:r>
      <w:proofErr w:type="spellStart"/>
      <w:r>
        <w:t>Multiscan</w:t>
      </w:r>
      <w:proofErr w:type="spellEnd"/>
      <w:r>
        <w:t xml:space="preserve"> 5000).</w:t>
      </w:r>
    </w:p>
    <w:p w:rsidR="00EB6F6A" w:rsidRDefault="00EB6F6A"/>
    <w:p w:rsidR="00EB6F6A" w:rsidRDefault="00286458">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w:t>
            </w:r>
            <w:r>
              <w:rPr>
                <w:b/>
                <w:sz w:val="18"/>
              </w:rPr>
              <w:t>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671</w:t>
            </w:r>
          </w:p>
        </w:tc>
        <w:tc>
          <w:tcPr>
            <w:tcW w:w="3180" w:type="dxa"/>
            <w:tcMar>
              <w:top w:w="0" w:type="dxa"/>
              <w:bottom w:w="0" w:type="dxa"/>
            </w:tcMar>
            <w:vAlign w:val="center"/>
          </w:tcPr>
          <w:p w:rsidR="00EB6F6A" w:rsidRDefault="00286458">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EB6F6A" w:rsidRDefault="00286458">
            <w:pPr>
              <w:keepNext/>
              <w:keepLines/>
              <w:spacing w:after="0" w:line="240" w:lineRule="auto"/>
            </w:pPr>
            <w:r>
              <w:rPr>
                <w:sz w:val="18"/>
              </w:rPr>
              <w:t>671</w:t>
            </w:r>
          </w:p>
        </w:tc>
        <w:tc>
          <w:tcPr>
            <w:tcW w:w="1860" w:type="dxa"/>
            <w:tcMar>
              <w:top w:w="0" w:type="dxa"/>
              <w:bottom w:w="0" w:type="dxa"/>
            </w:tcMar>
            <w:vAlign w:val="center"/>
          </w:tcPr>
          <w:p w:rsidR="00EB6F6A" w:rsidRDefault="00286458">
            <w:pPr>
              <w:keepNext/>
              <w:keepLines/>
              <w:spacing w:after="0" w:line="240" w:lineRule="auto"/>
              <w:jc w:val="right"/>
            </w:pPr>
            <w:r>
              <w:rPr>
                <w:sz w:val="18"/>
              </w:rPr>
              <w:t>99.670.760,90</w:t>
            </w:r>
          </w:p>
        </w:tc>
        <w:tc>
          <w:tcPr>
            <w:tcW w:w="1860" w:type="dxa"/>
            <w:tcMar>
              <w:top w:w="0" w:type="dxa"/>
              <w:bottom w:w="0" w:type="dxa"/>
            </w:tcMar>
            <w:vAlign w:val="center"/>
          </w:tcPr>
          <w:p w:rsidR="00EB6F6A" w:rsidRDefault="00286458">
            <w:pPr>
              <w:keepNext/>
              <w:keepLines/>
              <w:spacing w:after="0" w:line="240" w:lineRule="auto"/>
              <w:jc w:val="right"/>
            </w:pPr>
            <w:r>
              <w:rPr>
                <w:sz w:val="18"/>
              </w:rPr>
              <w:t>94.691.110,47</w:t>
            </w:r>
          </w:p>
        </w:tc>
        <w:tc>
          <w:tcPr>
            <w:tcW w:w="700" w:type="dxa"/>
            <w:tcMar>
              <w:top w:w="0" w:type="dxa"/>
              <w:bottom w:w="0" w:type="dxa"/>
            </w:tcMar>
            <w:vAlign w:val="center"/>
          </w:tcPr>
          <w:p w:rsidR="00EB6F6A" w:rsidRDefault="00286458">
            <w:pPr>
              <w:keepNext/>
              <w:keepLines/>
              <w:spacing w:after="0" w:line="240" w:lineRule="auto"/>
              <w:jc w:val="right"/>
            </w:pPr>
            <w:r>
              <w:rPr>
                <w:sz w:val="18"/>
              </w:rPr>
              <w:t>95,0</w:t>
            </w:r>
          </w:p>
        </w:tc>
      </w:tr>
    </w:tbl>
    <w:p w:rsidR="00EB6F6A" w:rsidRDefault="00EB6F6A">
      <w:pPr>
        <w:spacing w:after="0"/>
      </w:pPr>
    </w:p>
    <w:p w:rsidR="00EB6F6A" w:rsidRDefault="00286458">
      <w:pPr>
        <w:jc w:val="both"/>
      </w:pPr>
      <w:r>
        <w:t xml:space="preserve">Prihodi iz nadležnog proračuna za financiranje redovne djelatnosti proračunskih korisnika (Šifra 671) u razdoblju od 1. siječnja do 31. prosinca 2025. godine iznose 94.691.110 EUR. Smanjenje prihoda iz nadležnog proračuna u razdoblju od 1. siječnja do 31. </w:t>
      </w:r>
      <w:r>
        <w:t xml:space="preserve">prosinca 2025. godine u odnosu na isto razdoblje prethodne godine iznosi 5,0%, a rezultat je manje ostvarenih prihoda iz nadležnog proračuna za financiranje rashoda za nabavu nefinancijske imovine zbog potrebe ušteda u Državnom proračunu za 2025. godinu i </w:t>
      </w:r>
      <w:r>
        <w:t>smanjenja iznosa raspoloživih sredstava na limitiranim izvorima financiranja. </w:t>
      </w:r>
    </w:p>
    <w:p w:rsidR="00EB6F6A" w:rsidRDefault="00EB6F6A"/>
    <w:p w:rsidR="00EB6F6A" w:rsidRDefault="00286458">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683</w:t>
            </w:r>
          </w:p>
        </w:tc>
        <w:tc>
          <w:tcPr>
            <w:tcW w:w="3180" w:type="dxa"/>
            <w:tcMar>
              <w:top w:w="0" w:type="dxa"/>
              <w:bottom w:w="0" w:type="dxa"/>
            </w:tcMar>
            <w:vAlign w:val="center"/>
          </w:tcPr>
          <w:p w:rsidR="00EB6F6A" w:rsidRDefault="00286458">
            <w:pPr>
              <w:keepNext/>
              <w:keepLines/>
              <w:spacing w:after="0" w:line="240" w:lineRule="auto"/>
            </w:pPr>
            <w:r>
              <w:rPr>
                <w:sz w:val="18"/>
              </w:rPr>
              <w:t xml:space="preserve">Ostali </w:t>
            </w:r>
            <w:r>
              <w:rPr>
                <w:sz w:val="18"/>
              </w:rPr>
              <w:t>prihodi</w:t>
            </w:r>
          </w:p>
        </w:tc>
        <w:tc>
          <w:tcPr>
            <w:tcW w:w="700" w:type="dxa"/>
            <w:tcMar>
              <w:top w:w="0" w:type="dxa"/>
              <w:bottom w:w="0" w:type="dxa"/>
            </w:tcMar>
            <w:vAlign w:val="center"/>
          </w:tcPr>
          <w:p w:rsidR="00EB6F6A" w:rsidRDefault="00286458">
            <w:pPr>
              <w:keepNext/>
              <w:keepLines/>
              <w:spacing w:after="0" w:line="240" w:lineRule="auto"/>
            </w:pPr>
            <w:r>
              <w:rPr>
                <w:sz w:val="18"/>
              </w:rPr>
              <w:t>683</w:t>
            </w:r>
          </w:p>
        </w:tc>
        <w:tc>
          <w:tcPr>
            <w:tcW w:w="1860" w:type="dxa"/>
            <w:tcMar>
              <w:top w:w="0" w:type="dxa"/>
              <w:bottom w:w="0" w:type="dxa"/>
            </w:tcMar>
            <w:vAlign w:val="center"/>
          </w:tcPr>
          <w:p w:rsidR="00EB6F6A" w:rsidRDefault="00286458">
            <w:pPr>
              <w:keepNext/>
              <w:keepLines/>
              <w:spacing w:after="0" w:line="240" w:lineRule="auto"/>
              <w:jc w:val="right"/>
            </w:pPr>
            <w:r>
              <w:rPr>
                <w:sz w:val="18"/>
              </w:rPr>
              <w:t>3.901.682,73</w:t>
            </w:r>
          </w:p>
        </w:tc>
        <w:tc>
          <w:tcPr>
            <w:tcW w:w="1860" w:type="dxa"/>
            <w:tcMar>
              <w:top w:w="0" w:type="dxa"/>
              <w:bottom w:w="0" w:type="dxa"/>
            </w:tcMar>
            <w:vAlign w:val="center"/>
          </w:tcPr>
          <w:p w:rsidR="00EB6F6A" w:rsidRDefault="00286458">
            <w:pPr>
              <w:keepNext/>
              <w:keepLines/>
              <w:spacing w:after="0" w:line="240" w:lineRule="auto"/>
              <w:jc w:val="right"/>
            </w:pPr>
            <w:r>
              <w:rPr>
                <w:sz w:val="18"/>
              </w:rPr>
              <w:t>5.910.179,19</w:t>
            </w:r>
          </w:p>
        </w:tc>
        <w:tc>
          <w:tcPr>
            <w:tcW w:w="700" w:type="dxa"/>
            <w:tcMar>
              <w:top w:w="0" w:type="dxa"/>
              <w:bottom w:w="0" w:type="dxa"/>
            </w:tcMar>
            <w:vAlign w:val="center"/>
          </w:tcPr>
          <w:p w:rsidR="00EB6F6A" w:rsidRDefault="00286458">
            <w:pPr>
              <w:keepNext/>
              <w:keepLines/>
              <w:spacing w:after="0" w:line="240" w:lineRule="auto"/>
              <w:jc w:val="right"/>
            </w:pPr>
            <w:r>
              <w:rPr>
                <w:sz w:val="18"/>
              </w:rPr>
              <w:t>151,5</w:t>
            </w:r>
          </w:p>
        </w:tc>
      </w:tr>
    </w:tbl>
    <w:p w:rsidR="00EB6F6A" w:rsidRDefault="00EB6F6A">
      <w:pPr>
        <w:spacing w:after="0"/>
      </w:pPr>
    </w:p>
    <w:p w:rsidR="00EB6F6A" w:rsidRDefault="00286458">
      <w:pPr>
        <w:jc w:val="both"/>
      </w:pPr>
      <w:r>
        <w:t xml:space="preserve">Ostali prihodi (Šifra 683) u razdoblju od 1. siječnja do 31. prosinca 2025. godine iznose 5.910.179 EUR. Povećanje ostalih prihoda u razdoblju od 1. siječnja do 31. prosinca 2025. </w:t>
      </w:r>
      <w:r>
        <w:lastRenderedPageBreak/>
        <w:t xml:space="preserve">godine u odnosu na isto razdoblje prethodne godine iznosi 51,5%, a rezultat </w:t>
      </w:r>
      <w:r>
        <w:t>je evidentiranja sklopljenih sudskih nagodbi s društvom Medika d.d., kojima je dogovorena otplata zakonskih zateznih kamata umanjenih za 30% (2.502.061 EUR). Za navedeni iznos umanjena je obveza za plaćanje zakonskih zateznih kamata te evidentiran prihod n</w:t>
      </w:r>
      <w:r>
        <w:t>a kontu 68311 Ostali prihodi.</w:t>
      </w:r>
    </w:p>
    <w:p w:rsidR="00EB6F6A" w:rsidRDefault="00EB6F6A"/>
    <w:p w:rsidR="00EB6F6A" w:rsidRDefault="0028645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31</w:t>
            </w:r>
          </w:p>
        </w:tc>
        <w:tc>
          <w:tcPr>
            <w:tcW w:w="3180" w:type="dxa"/>
            <w:tcMar>
              <w:top w:w="0" w:type="dxa"/>
              <w:bottom w:w="0" w:type="dxa"/>
            </w:tcMar>
            <w:vAlign w:val="center"/>
          </w:tcPr>
          <w:p w:rsidR="00EB6F6A" w:rsidRDefault="00286458">
            <w:pPr>
              <w:keepNext/>
              <w:keepLines/>
              <w:spacing w:after="0" w:line="240" w:lineRule="auto"/>
            </w:pPr>
            <w:r>
              <w:rPr>
                <w:sz w:val="18"/>
              </w:rPr>
              <w:t>Rashodi za zaposlene (šifre 311+312+313)</w:t>
            </w:r>
          </w:p>
        </w:tc>
        <w:tc>
          <w:tcPr>
            <w:tcW w:w="700" w:type="dxa"/>
            <w:tcMar>
              <w:top w:w="0" w:type="dxa"/>
              <w:bottom w:w="0" w:type="dxa"/>
            </w:tcMar>
            <w:vAlign w:val="center"/>
          </w:tcPr>
          <w:p w:rsidR="00EB6F6A" w:rsidRDefault="00286458">
            <w:pPr>
              <w:keepNext/>
              <w:keepLines/>
              <w:spacing w:after="0" w:line="240" w:lineRule="auto"/>
            </w:pPr>
            <w:r>
              <w:rPr>
                <w:sz w:val="18"/>
              </w:rPr>
              <w:t>31</w:t>
            </w:r>
          </w:p>
        </w:tc>
        <w:tc>
          <w:tcPr>
            <w:tcW w:w="1860" w:type="dxa"/>
            <w:tcMar>
              <w:top w:w="0" w:type="dxa"/>
              <w:bottom w:w="0" w:type="dxa"/>
            </w:tcMar>
            <w:vAlign w:val="center"/>
          </w:tcPr>
          <w:p w:rsidR="00EB6F6A" w:rsidRDefault="00286458">
            <w:pPr>
              <w:keepNext/>
              <w:keepLines/>
              <w:spacing w:after="0" w:line="240" w:lineRule="auto"/>
              <w:jc w:val="right"/>
            </w:pPr>
            <w:r>
              <w:rPr>
                <w:sz w:val="18"/>
              </w:rPr>
              <w:t>228.191.655,58</w:t>
            </w:r>
          </w:p>
        </w:tc>
        <w:tc>
          <w:tcPr>
            <w:tcW w:w="1860" w:type="dxa"/>
            <w:tcMar>
              <w:top w:w="0" w:type="dxa"/>
              <w:bottom w:w="0" w:type="dxa"/>
            </w:tcMar>
            <w:vAlign w:val="center"/>
          </w:tcPr>
          <w:p w:rsidR="00EB6F6A" w:rsidRDefault="00286458">
            <w:pPr>
              <w:keepNext/>
              <w:keepLines/>
              <w:spacing w:after="0" w:line="240" w:lineRule="auto"/>
              <w:jc w:val="right"/>
            </w:pPr>
            <w:r>
              <w:rPr>
                <w:sz w:val="18"/>
              </w:rPr>
              <w:t>247.702.728,16</w:t>
            </w:r>
          </w:p>
        </w:tc>
        <w:tc>
          <w:tcPr>
            <w:tcW w:w="700" w:type="dxa"/>
            <w:tcMar>
              <w:top w:w="0" w:type="dxa"/>
              <w:bottom w:w="0" w:type="dxa"/>
            </w:tcMar>
            <w:vAlign w:val="center"/>
          </w:tcPr>
          <w:p w:rsidR="00EB6F6A" w:rsidRDefault="00286458">
            <w:pPr>
              <w:keepNext/>
              <w:keepLines/>
              <w:spacing w:after="0" w:line="240" w:lineRule="auto"/>
              <w:jc w:val="right"/>
            </w:pPr>
            <w:r>
              <w:rPr>
                <w:sz w:val="18"/>
              </w:rPr>
              <w:t>108,6</w:t>
            </w:r>
          </w:p>
        </w:tc>
      </w:tr>
    </w:tbl>
    <w:p w:rsidR="00EB6F6A" w:rsidRDefault="00EB6F6A">
      <w:pPr>
        <w:spacing w:after="0"/>
      </w:pPr>
    </w:p>
    <w:p w:rsidR="00EB6F6A" w:rsidRDefault="00286458">
      <w:pPr>
        <w:jc w:val="both"/>
      </w:pPr>
      <w:r>
        <w:t>U razdoblju od 1. siječnja do 31. prosinca 2025. godine rashodi za zaposlene (Šifra 31) ostvareni su u iznosu od 247.702.728 EUR što je za 8,6% više u odnosu na isto razdoblje prethodne godine. Povećanje rashoda za zaposlene uzrokovano je povećanjem osnovi</w:t>
      </w:r>
      <w:r>
        <w:t>ce za obračun plaća za 3% od 1. veljače te 3% od 1. rujna 2025. Odlukom o visini osnovice za obračun plaće u javnim službama u 2025. godini (NN 155/2024) iz prosinca 2024.</w:t>
      </w:r>
    </w:p>
    <w:p w:rsidR="00EB6F6A" w:rsidRDefault="00286458">
      <w:r>
        <w:t> </w:t>
      </w:r>
    </w:p>
    <w:p w:rsidR="00EB6F6A" w:rsidRDefault="00EB6F6A"/>
    <w:p w:rsidR="00EB6F6A" w:rsidRDefault="00286458">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w:t>
            </w:r>
            <w:r>
              <w:rPr>
                <w:b/>
                <w:sz w:val="18"/>
              </w:rPr>
              <w:t>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32</w:t>
            </w:r>
          </w:p>
        </w:tc>
        <w:tc>
          <w:tcPr>
            <w:tcW w:w="3180" w:type="dxa"/>
            <w:tcMar>
              <w:top w:w="0" w:type="dxa"/>
              <w:bottom w:w="0" w:type="dxa"/>
            </w:tcMar>
            <w:vAlign w:val="center"/>
          </w:tcPr>
          <w:p w:rsidR="00EB6F6A" w:rsidRDefault="00286458">
            <w:pPr>
              <w:keepNext/>
              <w:keepLines/>
              <w:spacing w:after="0" w:line="240" w:lineRule="auto"/>
            </w:pPr>
            <w:r>
              <w:rPr>
                <w:sz w:val="18"/>
              </w:rPr>
              <w:t>Materijalni rashodi (šifre 321+322+323+324+325+329)</w:t>
            </w:r>
          </w:p>
        </w:tc>
        <w:tc>
          <w:tcPr>
            <w:tcW w:w="700" w:type="dxa"/>
            <w:tcMar>
              <w:top w:w="0" w:type="dxa"/>
              <w:bottom w:w="0" w:type="dxa"/>
            </w:tcMar>
            <w:vAlign w:val="center"/>
          </w:tcPr>
          <w:p w:rsidR="00EB6F6A" w:rsidRDefault="00286458">
            <w:pPr>
              <w:keepNext/>
              <w:keepLines/>
              <w:spacing w:after="0" w:line="240" w:lineRule="auto"/>
            </w:pPr>
            <w:r>
              <w:rPr>
                <w:sz w:val="18"/>
              </w:rPr>
              <w:t>32</w:t>
            </w:r>
          </w:p>
        </w:tc>
        <w:tc>
          <w:tcPr>
            <w:tcW w:w="1860" w:type="dxa"/>
            <w:tcMar>
              <w:top w:w="0" w:type="dxa"/>
              <w:bottom w:w="0" w:type="dxa"/>
            </w:tcMar>
            <w:vAlign w:val="center"/>
          </w:tcPr>
          <w:p w:rsidR="00EB6F6A" w:rsidRDefault="00286458">
            <w:pPr>
              <w:keepNext/>
              <w:keepLines/>
              <w:spacing w:after="0" w:line="240" w:lineRule="auto"/>
              <w:jc w:val="right"/>
            </w:pPr>
            <w:r>
              <w:rPr>
                <w:sz w:val="18"/>
              </w:rPr>
              <w:t>395.703.786,73</w:t>
            </w:r>
          </w:p>
        </w:tc>
        <w:tc>
          <w:tcPr>
            <w:tcW w:w="1860" w:type="dxa"/>
            <w:tcMar>
              <w:top w:w="0" w:type="dxa"/>
              <w:bottom w:w="0" w:type="dxa"/>
            </w:tcMar>
            <w:vAlign w:val="center"/>
          </w:tcPr>
          <w:p w:rsidR="00EB6F6A" w:rsidRDefault="00286458">
            <w:pPr>
              <w:keepNext/>
              <w:keepLines/>
              <w:spacing w:after="0" w:line="240" w:lineRule="auto"/>
              <w:jc w:val="right"/>
            </w:pPr>
            <w:r>
              <w:rPr>
                <w:sz w:val="18"/>
              </w:rPr>
              <w:t>427.234.183,77</w:t>
            </w:r>
          </w:p>
        </w:tc>
        <w:tc>
          <w:tcPr>
            <w:tcW w:w="700" w:type="dxa"/>
            <w:tcMar>
              <w:top w:w="0" w:type="dxa"/>
              <w:bottom w:w="0" w:type="dxa"/>
            </w:tcMar>
            <w:vAlign w:val="center"/>
          </w:tcPr>
          <w:p w:rsidR="00EB6F6A" w:rsidRDefault="00286458">
            <w:pPr>
              <w:keepNext/>
              <w:keepLines/>
              <w:spacing w:after="0" w:line="240" w:lineRule="auto"/>
              <w:jc w:val="right"/>
            </w:pPr>
            <w:r>
              <w:rPr>
                <w:sz w:val="18"/>
              </w:rPr>
              <w:t>108,0</w:t>
            </w:r>
          </w:p>
        </w:tc>
      </w:tr>
    </w:tbl>
    <w:p w:rsidR="00EB6F6A" w:rsidRDefault="00EB6F6A">
      <w:pPr>
        <w:spacing w:after="0"/>
      </w:pPr>
    </w:p>
    <w:p w:rsidR="00EB6F6A" w:rsidRDefault="00286458">
      <w:pPr>
        <w:jc w:val="both"/>
      </w:pPr>
      <w:r>
        <w:t>Materijalni rashodi (Šifra 32) prema proračunskom računovodstvu u razdoblju od 1. siječnja do 31. prosinca 2025. godine ostvareni su u iznosu od 427.234.184 EUR što je za 8,0% više u odnosu na isto razdoblje prethodne godine. Najveći udio u materijalnim ra</w:t>
      </w:r>
      <w:r>
        <w:t>shodima odnosi se na potrošnju lijekova, medicinskog potrošnog materijala te krvi i krvnih pripravaka (89,7%).</w:t>
      </w:r>
    </w:p>
    <w:p w:rsidR="00EB6F6A" w:rsidRDefault="00286458">
      <w:pPr>
        <w:jc w:val="both"/>
      </w:pPr>
      <w:r>
        <w:t xml:space="preserve">Kod rashoda za lijekove u razdoblju od 1. siječnja do 31. prosinca 2025. godine, najveći trošak u iznosu od 160.810.956 EUR se odnosi na Posebno </w:t>
      </w:r>
      <w:r>
        <w:t>skupe lijekove „izvan limita“ (</w:t>
      </w:r>
      <w:proofErr w:type="spellStart"/>
      <w:r>
        <w:t>Keytruda</w:t>
      </w:r>
      <w:proofErr w:type="spellEnd"/>
      <w:r>
        <w:t xml:space="preserve"> 21.320.362 EUR, </w:t>
      </w:r>
      <w:proofErr w:type="spellStart"/>
      <w:r>
        <w:t>Kaftrio</w:t>
      </w:r>
      <w:proofErr w:type="spellEnd"/>
      <w:r>
        <w:t xml:space="preserve"> 13.975.397 EUR, </w:t>
      </w:r>
      <w:proofErr w:type="spellStart"/>
      <w:r>
        <w:t>Evrysdi</w:t>
      </w:r>
      <w:proofErr w:type="spellEnd"/>
      <w:r>
        <w:t xml:space="preserve"> 11.885.477 EUR, </w:t>
      </w:r>
      <w:proofErr w:type="spellStart"/>
      <w:r>
        <w:t>Ocrevus</w:t>
      </w:r>
      <w:proofErr w:type="spellEnd"/>
      <w:r>
        <w:t xml:space="preserve"> 9.714.823 EUR, </w:t>
      </w:r>
      <w:proofErr w:type="spellStart"/>
      <w:r>
        <w:t>Kalydeco</w:t>
      </w:r>
      <w:proofErr w:type="spellEnd"/>
      <w:r>
        <w:t xml:space="preserve"> 9.535.019 EUR, </w:t>
      </w:r>
      <w:proofErr w:type="spellStart"/>
      <w:r>
        <w:t>Kymriah</w:t>
      </w:r>
      <w:proofErr w:type="spellEnd"/>
      <w:r>
        <w:t xml:space="preserve"> 5.520.900 EUR) čija se terapija provodi sukladno Smjernicama HZZO-a. </w:t>
      </w:r>
    </w:p>
    <w:p w:rsidR="00EB6F6A" w:rsidRDefault="00286458">
      <w:pPr>
        <w:jc w:val="both"/>
      </w:pPr>
      <w:r>
        <w:t>Rashodi za medicinski potro</w:t>
      </w:r>
      <w:r>
        <w:t>šni materijal u razdoblju od 1. siječnja do 31. prosinca 2025. godine ostvareni su u iznosu od 89.176.952 EUR što je povećanje od 11,1% u odnosu na isto razdoblje prethodne godine (80.300.777 EUR). Od toga rashodi za medicinski potrošni materijal izvan lim</w:t>
      </w:r>
      <w:r>
        <w:t xml:space="preserve">ita ostvareni su u iznosu od 22.311.139 EUR (Posebno skupi materijali 7.001.427 EUR, Transplantacije 6.416.467 EUR, Intervencijska neurologija i </w:t>
      </w:r>
      <w:proofErr w:type="spellStart"/>
      <w:r>
        <w:t>neuroradiologija</w:t>
      </w:r>
      <w:proofErr w:type="spellEnd"/>
      <w:r>
        <w:t xml:space="preserve"> 4.855.109 EUR) što je povećanje od 10,3% u odnosu na isto razdoblje prethodne godine (20.227.4</w:t>
      </w:r>
      <w:r>
        <w:t>31 EUR).</w:t>
      </w:r>
    </w:p>
    <w:p w:rsidR="00EB6F6A" w:rsidRDefault="00286458" w:rsidP="00BC6ABD">
      <w:pPr>
        <w:jc w:val="both"/>
      </w:pPr>
      <w:r>
        <w:t> </w:t>
      </w:r>
    </w:p>
    <w:p w:rsidR="00EB6F6A" w:rsidRDefault="00286458">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3222</w:t>
            </w:r>
          </w:p>
        </w:tc>
        <w:tc>
          <w:tcPr>
            <w:tcW w:w="3180" w:type="dxa"/>
            <w:tcMar>
              <w:top w:w="0" w:type="dxa"/>
              <w:bottom w:w="0" w:type="dxa"/>
            </w:tcMar>
            <w:vAlign w:val="center"/>
          </w:tcPr>
          <w:p w:rsidR="00EB6F6A" w:rsidRDefault="00286458">
            <w:pPr>
              <w:keepNext/>
              <w:keepLines/>
              <w:spacing w:after="0" w:line="240" w:lineRule="auto"/>
            </w:pPr>
            <w:r>
              <w:rPr>
                <w:sz w:val="18"/>
              </w:rPr>
              <w:t>Materijal i sirovine</w:t>
            </w:r>
          </w:p>
        </w:tc>
        <w:tc>
          <w:tcPr>
            <w:tcW w:w="700" w:type="dxa"/>
            <w:tcMar>
              <w:top w:w="0" w:type="dxa"/>
              <w:bottom w:w="0" w:type="dxa"/>
            </w:tcMar>
            <w:vAlign w:val="center"/>
          </w:tcPr>
          <w:p w:rsidR="00EB6F6A" w:rsidRDefault="00286458">
            <w:pPr>
              <w:keepNext/>
              <w:keepLines/>
              <w:spacing w:after="0" w:line="240" w:lineRule="auto"/>
            </w:pPr>
            <w:r>
              <w:rPr>
                <w:sz w:val="18"/>
              </w:rPr>
              <w:t>3222</w:t>
            </w:r>
          </w:p>
        </w:tc>
        <w:tc>
          <w:tcPr>
            <w:tcW w:w="1860" w:type="dxa"/>
            <w:tcMar>
              <w:top w:w="0" w:type="dxa"/>
              <w:bottom w:w="0" w:type="dxa"/>
            </w:tcMar>
            <w:vAlign w:val="center"/>
          </w:tcPr>
          <w:p w:rsidR="00EB6F6A" w:rsidRDefault="00286458">
            <w:pPr>
              <w:keepNext/>
              <w:keepLines/>
              <w:spacing w:after="0" w:line="240" w:lineRule="auto"/>
              <w:jc w:val="right"/>
            </w:pPr>
            <w:r>
              <w:rPr>
                <w:sz w:val="18"/>
              </w:rPr>
              <w:t>353.590.221,16</w:t>
            </w:r>
          </w:p>
        </w:tc>
        <w:tc>
          <w:tcPr>
            <w:tcW w:w="1860" w:type="dxa"/>
            <w:tcMar>
              <w:top w:w="0" w:type="dxa"/>
              <w:bottom w:w="0" w:type="dxa"/>
            </w:tcMar>
            <w:vAlign w:val="center"/>
          </w:tcPr>
          <w:p w:rsidR="00EB6F6A" w:rsidRDefault="00286458">
            <w:pPr>
              <w:keepNext/>
              <w:keepLines/>
              <w:spacing w:after="0" w:line="240" w:lineRule="auto"/>
              <w:jc w:val="right"/>
            </w:pPr>
            <w:r>
              <w:rPr>
                <w:sz w:val="18"/>
              </w:rPr>
              <w:t>2.951.184,44</w:t>
            </w:r>
          </w:p>
        </w:tc>
        <w:tc>
          <w:tcPr>
            <w:tcW w:w="700" w:type="dxa"/>
            <w:tcMar>
              <w:top w:w="0" w:type="dxa"/>
              <w:bottom w:w="0" w:type="dxa"/>
            </w:tcMar>
            <w:vAlign w:val="center"/>
          </w:tcPr>
          <w:p w:rsidR="00EB6F6A" w:rsidRDefault="00286458">
            <w:pPr>
              <w:keepNext/>
              <w:keepLines/>
              <w:spacing w:after="0" w:line="240" w:lineRule="auto"/>
              <w:jc w:val="right"/>
            </w:pPr>
            <w:r>
              <w:rPr>
                <w:sz w:val="18"/>
              </w:rPr>
              <w:t>0,8</w:t>
            </w:r>
          </w:p>
        </w:tc>
      </w:tr>
    </w:tbl>
    <w:p w:rsidR="00EB6F6A" w:rsidRDefault="00EB6F6A">
      <w:pPr>
        <w:spacing w:after="0"/>
      </w:pPr>
    </w:p>
    <w:p w:rsidR="00EB6F6A" w:rsidRDefault="00286458">
      <w:pPr>
        <w:jc w:val="both"/>
      </w:pPr>
      <w:r>
        <w:t>Razlog smanjenja ostvarenih rashoda za materijal i sirovine (Šifra 3222) proizlazi iz promjene načina evidentiranja rashoda za lijekove, medicinski potrošni materijal te krv i krvne pripravke od 1.1.2025. godine. Sukladno novom Pravilniku o proračunskom ra</w:t>
      </w:r>
      <w:r>
        <w:t>čunovodstvu i Računskom planu otvorena je nova podskupina 325 – Rashodi lijekova i potrošnog medicinskog materijala kod zdravstvenih ustanova (Šifra 325) te se shodno navedenom svi rashodi vezani za lijekove, medicinski potrošni materijal te krv i krvne pr</w:t>
      </w:r>
      <w:r>
        <w:t>ipravke evidentiraju se u podskupini 325 Računskog plana.</w:t>
      </w:r>
    </w:p>
    <w:p w:rsidR="00EB6F6A" w:rsidRDefault="00EB6F6A"/>
    <w:p w:rsidR="00EB6F6A" w:rsidRDefault="00286458">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3223</w:t>
            </w:r>
          </w:p>
        </w:tc>
        <w:tc>
          <w:tcPr>
            <w:tcW w:w="3180" w:type="dxa"/>
            <w:tcMar>
              <w:top w:w="0" w:type="dxa"/>
              <w:bottom w:w="0" w:type="dxa"/>
            </w:tcMar>
            <w:vAlign w:val="center"/>
          </w:tcPr>
          <w:p w:rsidR="00EB6F6A" w:rsidRDefault="00286458">
            <w:pPr>
              <w:keepNext/>
              <w:keepLines/>
              <w:spacing w:after="0" w:line="240" w:lineRule="auto"/>
            </w:pPr>
            <w:r>
              <w:rPr>
                <w:sz w:val="18"/>
              </w:rPr>
              <w:t>Energija</w:t>
            </w:r>
          </w:p>
        </w:tc>
        <w:tc>
          <w:tcPr>
            <w:tcW w:w="700" w:type="dxa"/>
            <w:tcMar>
              <w:top w:w="0" w:type="dxa"/>
              <w:bottom w:w="0" w:type="dxa"/>
            </w:tcMar>
            <w:vAlign w:val="center"/>
          </w:tcPr>
          <w:p w:rsidR="00EB6F6A" w:rsidRDefault="00286458">
            <w:pPr>
              <w:keepNext/>
              <w:keepLines/>
              <w:spacing w:after="0" w:line="240" w:lineRule="auto"/>
            </w:pPr>
            <w:r>
              <w:rPr>
                <w:sz w:val="18"/>
              </w:rPr>
              <w:t>3223</w:t>
            </w:r>
          </w:p>
        </w:tc>
        <w:tc>
          <w:tcPr>
            <w:tcW w:w="1860" w:type="dxa"/>
            <w:tcMar>
              <w:top w:w="0" w:type="dxa"/>
              <w:bottom w:w="0" w:type="dxa"/>
            </w:tcMar>
            <w:vAlign w:val="center"/>
          </w:tcPr>
          <w:p w:rsidR="00EB6F6A" w:rsidRDefault="00286458">
            <w:pPr>
              <w:keepNext/>
              <w:keepLines/>
              <w:spacing w:after="0" w:line="240" w:lineRule="auto"/>
              <w:jc w:val="right"/>
            </w:pPr>
            <w:r>
              <w:rPr>
                <w:sz w:val="18"/>
              </w:rPr>
              <w:t>4.810.249,42</w:t>
            </w:r>
          </w:p>
        </w:tc>
        <w:tc>
          <w:tcPr>
            <w:tcW w:w="1860" w:type="dxa"/>
            <w:tcMar>
              <w:top w:w="0" w:type="dxa"/>
              <w:bottom w:w="0" w:type="dxa"/>
            </w:tcMar>
            <w:vAlign w:val="center"/>
          </w:tcPr>
          <w:p w:rsidR="00EB6F6A" w:rsidRDefault="00286458">
            <w:pPr>
              <w:keepNext/>
              <w:keepLines/>
              <w:spacing w:after="0" w:line="240" w:lineRule="auto"/>
              <w:jc w:val="right"/>
            </w:pPr>
            <w:r>
              <w:rPr>
                <w:sz w:val="18"/>
              </w:rPr>
              <w:t>5.164.079,33</w:t>
            </w:r>
          </w:p>
        </w:tc>
        <w:tc>
          <w:tcPr>
            <w:tcW w:w="700" w:type="dxa"/>
            <w:tcMar>
              <w:top w:w="0" w:type="dxa"/>
              <w:bottom w:w="0" w:type="dxa"/>
            </w:tcMar>
            <w:vAlign w:val="center"/>
          </w:tcPr>
          <w:p w:rsidR="00EB6F6A" w:rsidRDefault="00286458">
            <w:pPr>
              <w:keepNext/>
              <w:keepLines/>
              <w:spacing w:after="0" w:line="240" w:lineRule="auto"/>
              <w:jc w:val="right"/>
            </w:pPr>
            <w:r>
              <w:rPr>
                <w:sz w:val="18"/>
              </w:rPr>
              <w:t>107,4</w:t>
            </w:r>
          </w:p>
        </w:tc>
      </w:tr>
    </w:tbl>
    <w:p w:rsidR="00EB6F6A" w:rsidRDefault="00EB6F6A">
      <w:pPr>
        <w:spacing w:after="0"/>
      </w:pPr>
    </w:p>
    <w:p w:rsidR="00EB6F6A" w:rsidRDefault="00286458">
      <w:pPr>
        <w:jc w:val="both"/>
      </w:pPr>
      <w:r>
        <w:t xml:space="preserve">U razdoblju od 1. siječnja do 31. prosinca 2025. godine rashodi za utrošenu energiju povećali su za 7,4% u odnosu na isto razdoblje prethodne godine. U utrošenu energiju spadaju troškovi električne energije, tehnološke pare, trošak plina i goriva. Najveće </w:t>
      </w:r>
      <w:r>
        <w:t>povećanje izdataka bilježi tehnološka para.</w:t>
      </w:r>
    </w:p>
    <w:p w:rsidR="00EB6F6A" w:rsidRDefault="00EB6F6A"/>
    <w:p w:rsidR="00EB6F6A" w:rsidRDefault="00286458">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3225</w:t>
            </w:r>
          </w:p>
        </w:tc>
        <w:tc>
          <w:tcPr>
            <w:tcW w:w="3180" w:type="dxa"/>
            <w:tcMar>
              <w:top w:w="0" w:type="dxa"/>
              <w:bottom w:w="0" w:type="dxa"/>
            </w:tcMar>
            <w:vAlign w:val="center"/>
          </w:tcPr>
          <w:p w:rsidR="00EB6F6A" w:rsidRDefault="00286458">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EB6F6A" w:rsidRDefault="00286458">
            <w:pPr>
              <w:keepNext/>
              <w:keepLines/>
              <w:spacing w:after="0" w:line="240" w:lineRule="auto"/>
            </w:pPr>
            <w:r>
              <w:rPr>
                <w:sz w:val="18"/>
              </w:rPr>
              <w:t>3225</w:t>
            </w:r>
          </w:p>
        </w:tc>
        <w:tc>
          <w:tcPr>
            <w:tcW w:w="1860" w:type="dxa"/>
            <w:tcMar>
              <w:top w:w="0" w:type="dxa"/>
              <w:bottom w:w="0" w:type="dxa"/>
            </w:tcMar>
            <w:vAlign w:val="center"/>
          </w:tcPr>
          <w:p w:rsidR="00EB6F6A" w:rsidRDefault="00286458">
            <w:pPr>
              <w:keepNext/>
              <w:keepLines/>
              <w:spacing w:after="0" w:line="240" w:lineRule="auto"/>
              <w:jc w:val="right"/>
            </w:pPr>
            <w:r>
              <w:rPr>
                <w:sz w:val="18"/>
              </w:rPr>
              <w:t>163.168,46</w:t>
            </w:r>
          </w:p>
        </w:tc>
        <w:tc>
          <w:tcPr>
            <w:tcW w:w="1860" w:type="dxa"/>
            <w:tcMar>
              <w:top w:w="0" w:type="dxa"/>
              <w:bottom w:w="0" w:type="dxa"/>
            </w:tcMar>
            <w:vAlign w:val="center"/>
          </w:tcPr>
          <w:p w:rsidR="00EB6F6A" w:rsidRDefault="00286458">
            <w:pPr>
              <w:keepNext/>
              <w:keepLines/>
              <w:spacing w:after="0" w:line="240" w:lineRule="auto"/>
              <w:jc w:val="right"/>
            </w:pPr>
            <w:r>
              <w:rPr>
                <w:sz w:val="18"/>
              </w:rPr>
              <w:t>349.304,57</w:t>
            </w:r>
          </w:p>
        </w:tc>
        <w:tc>
          <w:tcPr>
            <w:tcW w:w="700" w:type="dxa"/>
            <w:tcMar>
              <w:top w:w="0" w:type="dxa"/>
              <w:bottom w:w="0" w:type="dxa"/>
            </w:tcMar>
            <w:vAlign w:val="center"/>
          </w:tcPr>
          <w:p w:rsidR="00EB6F6A" w:rsidRDefault="00286458">
            <w:pPr>
              <w:keepNext/>
              <w:keepLines/>
              <w:spacing w:after="0" w:line="240" w:lineRule="auto"/>
              <w:jc w:val="right"/>
            </w:pPr>
            <w:r>
              <w:rPr>
                <w:sz w:val="18"/>
              </w:rPr>
              <w:t>214,1</w:t>
            </w:r>
          </w:p>
        </w:tc>
      </w:tr>
    </w:tbl>
    <w:p w:rsidR="00EB6F6A" w:rsidRDefault="00EB6F6A">
      <w:pPr>
        <w:spacing w:after="0"/>
      </w:pPr>
    </w:p>
    <w:p w:rsidR="00EB6F6A" w:rsidRDefault="00286458">
      <w:pPr>
        <w:jc w:val="both"/>
      </w:pPr>
      <w:r>
        <w:t xml:space="preserve">U razdoblju od 1. siječnja do 31. prosinca 2025. godine rashodi za sitni inventar i </w:t>
      </w:r>
      <w:proofErr w:type="spellStart"/>
      <w:r>
        <w:t>autogume</w:t>
      </w:r>
      <w:proofErr w:type="spellEnd"/>
      <w:r>
        <w:t xml:space="preserve"> povećali su za 114,1% u odnosu na isto razdoblje prethodne godine. Najznačajnija ulaganja se odnose na kirurške instrumente, stetoskope, zastave, žigove i faksimil</w:t>
      </w:r>
      <w:r>
        <w:t>e.</w:t>
      </w:r>
    </w:p>
    <w:p w:rsidR="00EB6F6A" w:rsidRDefault="00EB6F6A"/>
    <w:p w:rsidR="00EB6F6A" w:rsidRDefault="00286458">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3227</w:t>
            </w:r>
          </w:p>
        </w:tc>
        <w:tc>
          <w:tcPr>
            <w:tcW w:w="3180" w:type="dxa"/>
            <w:tcMar>
              <w:top w:w="0" w:type="dxa"/>
              <w:bottom w:w="0" w:type="dxa"/>
            </w:tcMar>
            <w:vAlign w:val="center"/>
          </w:tcPr>
          <w:p w:rsidR="00EB6F6A" w:rsidRDefault="00286458">
            <w:pPr>
              <w:keepNext/>
              <w:keepLines/>
              <w:spacing w:after="0" w:line="240" w:lineRule="auto"/>
            </w:pPr>
            <w:r>
              <w:rPr>
                <w:sz w:val="18"/>
              </w:rPr>
              <w:t>Službena, radna i zaštitna odjeća i obuća</w:t>
            </w:r>
          </w:p>
        </w:tc>
        <w:tc>
          <w:tcPr>
            <w:tcW w:w="700" w:type="dxa"/>
            <w:tcMar>
              <w:top w:w="0" w:type="dxa"/>
              <w:bottom w:w="0" w:type="dxa"/>
            </w:tcMar>
            <w:vAlign w:val="center"/>
          </w:tcPr>
          <w:p w:rsidR="00EB6F6A" w:rsidRDefault="00286458">
            <w:pPr>
              <w:keepNext/>
              <w:keepLines/>
              <w:spacing w:after="0" w:line="240" w:lineRule="auto"/>
            </w:pPr>
            <w:r>
              <w:rPr>
                <w:sz w:val="18"/>
              </w:rPr>
              <w:t>3227</w:t>
            </w:r>
          </w:p>
        </w:tc>
        <w:tc>
          <w:tcPr>
            <w:tcW w:w="1860" w:type="dxa"/>
            <w:tcMar>
              <w:top w:w="0" w:type="dxa"/>
              <w:bottom w:w="0" w:type="dxa"/>
            </w:tcMar>
            <w:vAlign w:val="center"/>
          </w:tcPr>
          <w:p w:rsidR="00EB6F6A" w:rsidRDefault="00286458">
            <w:pPr>
              <w:keepNext/>
              <w:keepLines/>
              <w:spacing w:after="0" w:line="240" w:lineRule="auto"/>
              <w:jc w:val="right"/>
            </w:pPr>
            <w:r>
              <w:rPr>
                <w:sz w:val="18"/>
              </w:rPr>
              <w:t>76,33</w:t>
            </w:r>
          </w:p>
        </w:tc>
        <w:tc>
          <w:tcPr>
            <w:tcW w:w="1860" w:type="dxa"/>
            <w:tcMar>
              <w:top w:w="0" w:type="dxa"/>
              <w:bottom w:w="0" w:type="dxa"/>
            </w:tcMar>
            <w:vAlign w:val="center"/>
          </w:tcPr>
          <w:p w:rsidR="00EB6F6A" w:rsidRDefault="00286458">
            <w:pPr>
              <w:keepNext/>
              <w:keepLines/>
              <w:spacing w:after="0" w:line="240" w:lineRule="auto"/>
              <w:jc w:val="right"/>
            </w:pPr>
            <w:r>
              <w:rPr>
                <w:sz w:val="18"/>
              </w:rPr>
              <w:t>330.369,07</w:t>
            </w:r>
          </w:p>
        </w:tc>
        <w:tc>
          <w:tcPr>
            <w:tcW w:w="700" w:type="dxa"/>
            <w:tcMar>
              <w:top w:w="0" w:type="dxa"/>
              <w:bottom w:w="0" w:type="dxa"/>
            </w:tcMar>
            <w:vAlign w:val="center"/>
          </w:tcPr>
          <w:p w:rsidR="00EB6F6A" w:rsidRDefault="00286458">
            <w:pPr>
              <w:keepNext/>
              <w:keepLines/>
              <w:spacing w:after="0" w:line="240" w:lineRule="auto"/>
              <w:jc w:val="right"/>
            </w:pPr>
            <w:r>
              <w:rPr>
                <w:sz w:val="18"/>
              </w:rPr>
              <w:t>&gt;&gt;100</w:t>
            </w:r>
          </w:p>
        </w:tc>
      </w:tr>
    </w:tbl>
    <w:p w:rsidR="00EB6F6A" w:rsidRDefault="00EB6F6A">
      <w:pPr>
        <w:spacing w:after="0"/>
      </w:pPr>
    </w:p>
    <w:p w:rsidR="00EB6F6A" w:rsidRDefault="00286458">
      <w:pPr>
        <w:jc w:val="both"/>
      </w:pPr>
      <w:r>
        <w:t>U razdoblju od 1. siječnja do 31. prosinca 2025. godine rashodi za službenu, radnu i zaštitnu odjeću i obuću višestruko su porasli u odnosu na prethodnu godinu. Najveći rashod odnosi se na radnu obuću i odjeću za zdravstvene djelatnike.</w:t>
      </w:r>
    </w:p>
    <w:p w:rsidR="00EB6F6A" w:rsidRDefault="00EB6F6A"/>
    <w:p w:rsidR="00EB6F6A" w:rsidRDefault="00286458">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Račun</w:t>
            </w:r>
            <w:r>
              <w:rPr>
                <w:b/>
                <w:sz w:val="18"/>
              </w:rPr>
              <w:t xml:space="preserve">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323</w:t>
            </w:r>
          </w:p>
        </w:tc>
        <w:tc>
          <w:tcPr>
            <w:tcW w:w="3180" w:type="dxa"/>
            <w:tcMar>
              <w:top w:w="0" w:type="dxa"/>
              <w:bottom w:w="0" w:type="dxa"/>
            </w:tcMar>
            <w:vAlign w:val="center"/>
          </w:tcPr>
          <w:p w:rsidR="00EB6F6A" w:rsidRDefault="00286458">
            <w:pPr>
              <w:keepNext/>
              <w:keepLines/>
              <w:spacing w:after="0" w:line="240" w:lineRule="auto"/>
            </w:pPr>
            <w:r>
              <w:rPr>
                <w:sz w:val="18"/>
              </w:rPr>
              <w:t>Rashodi za usluge (šifre 3231 do 3239)</w:t>
            </w:r>
          </w:p>
        </w:tc>
        <w:tc>
          <w:tcPr>
            <w:tcW w:w="700" w:type="dxa"/>
            <w:tcMar>
              <w:top w:w="0" w:type="dxa"/>
              <w:bottom w:w="0" w:type="dxa"/>
            </w:tcMar>
            <w:vAlign w:val="center"/>
          </w:tcPr>
          <w:p w:rsidR="00EB6F6A" w:rsidRDefault="00286458">
            <w:pPr>
              <w:keepNext/>
              <w:keepLines/>
              <w:spacing w:after="0" w:line="240" w:lineRule="auto"/>
            </w:pPr>
            <w:r>
              <w:rPr>
                <w:sz w:val="18"/>
              </w:rPr>
              <w:t>323</w:t>
            </w:r>
          </w:p>
        </w:tc>
        <w:tc>
          <w:tcPr>
            <w:tcW w:w="1860" w:type="dxa"/>
            <w:tcMar>
              <w:top w:w="0" w:type="dxa"/>
              <w:bottom w:w="0" w:type="dxa"/>
            </w:tcMar>
            <w:vAlign w:val="center"/>
          </w:tcPr>
          <w:p w:rsidR="00EB6F6A" w:rsidRDefault="00286458">
            <w:pPr>
              <w:keepNext/>
              <w:keepLines/>
              <w:spacing w:after="0" w:line="240" w:lineRule="auto"/>
              <w:jc w:val="right"/>
            </w:pPr>
            <w:r>
              <w:rPr>
                <w:sz w:val="18"/>
              </w:rPr>
              <w:t>29.890.611,39</w:t>
            </w:r>
          </w:p>
        </w:tc>
        <w:tc>
          <w:tcPr>
            <w:tcW w:w="1860" w:type="dxa"/>
            <w:tcMar>
              <w:top w:w="0" w:type="dxa"/>
              <w:bottom w:w="0" w:type="dxa"/>
            </w:tcMar>
            <w:vAlign w:val="center"/>
          </w:tcPr>
          <w:p w:rsidR="00EB6F6A" w:rsidRDefault="00286458">
            <w:pPr>
              <w:keepNext/>
              <w:keepLines/>
              <w:spacing w:after="0" w:line="240" w:lineRule="auto"/>
              <w:jc w:val="right"/>
            </w:pPr>
            <w:r>
              <w:rPr>
                <w:sz w:val="18"/>
              </w:rPr>
              <w:t>30.800.295,99</w:t>
            </w:r>
          </w:p>
        </w:tc>
        <w:tc>
          <w:tcPr>
            <w:tcW w:w="700" w:type="dxa"/>
            <w:tcMar>
              <w:top w:w="0" w:type="dxa"/>
              <w:bottom w:w="0" w:type="dxa"/>
            </w:tcMar>
            <w:vAlign w:val="center"/>
          </w:tcPr>
          <w:p w:rsidR="00EB6F6A" w:rsidRDefault="00286458">
            <w:pPr>
              <w:keepNext/>
              <w:keepLines/>
              <w:spacing w:after="0" w:line="240" w:lineRule="auto"/>
              <w:jc w:val="right"/>
            </w:pPr>
            <w:r>
              <w:rPr>
                <w:sz w:val="18"/>
              </w:rPr>
              <w:t>103,0</w:t>
            </w:r>
          </w:p>
        </w:tc>
      </w:tr>
    </w:tbl>
    <w:p w:rsidR="00EB6F6A" w:rsidRDefault="00EB6F6A">
      <w:pPr>
        <w:spacing w:after="0"/>
      </w:pPr>
    </w:p>
    <w:p w:rsidR="00EB6F6A" w:rsidRDefault="00286458">
      <w:pPr>
        <w:jc w:val="both"/>
      </w:pPr>
      <w:r>
        <w:t>Rashodi za usluge (Šifra 323) u razdoblju od 1. siječnja do 31. prosinca 2025. godine ostvareni su u iznosu od 30.800.296 EUR što je za 3,0% više u odnosu na isto razdoblje prethodne godine. </w:t>
      </w:r>
    </w:p>
    <w:p w:rsidR="00EB6F6A" w:rsidRDefault="00286458">
      <w:pPr>
        <w:jc w:val="both"/>
      </w:pPr>
      <w:r>
        <w:t>Najveće povećanje rashoda za usluge bilježe:</w:t>
      </w:r>
    </w:p>
    <w:p w:rsidR="00EB6F6A" w:rsidRDefault="00286458">
      <w:pPr>
        <w:pStyle w:val="ListParagraph"/>
        <w:numPr>
          <w:ilvl w:val="0"/>
          <w:numId w:val="1"/>
        </w:numPr>
        <w:jc w:val="both"/>
      </w:pPr>
      <w:r>
        <w:t>usluge telefona, in</w:t>
      </w:r>
      <w:r>
        <w:t>terneta, pošte i prijevoza – porast rashoda za telefonske usluge, kurirsku dostavu te za prijevoz bolničke opreme od i do privremenih skladišta tijekom zadnje faze obnove bolnice</w:t>
      </w:r>
    </w:p>
    <w:p w:rsidR="00EB6F6A" w:rsidRDefault="00286458">
      <w:pPr>
        <w:pStyle w:val="ListParagraph"/>
        <w:numPr>
          <w:ilvl w:val="0"/>
          <w:numId w:val="1"/>
        </w:numPr>
        <w:jc w:val="both"/>
      </w:pPr>
      <w:r>
        <w:t>zakupnine i najamnine – porast rashoda za najamnine za opremu te jednogodišnj</w:t>
      </w:r>
      <w:r>
        <w:t>e licence</w:t>
      </w:r>
    </w:p>
    <w:p w:rsidR="00EB6F6A" w:rsidRDefault="00286458">
      <w:pPr>
        <w:pStyle w:val="ListParagraph"/>
        <w:numPr>
          <w:ilvl w:val="0"/>
          <w:numId w:val="1"/>
        </w:numPr>
        <w:jc w:val="both"/>
      </w:pPr>
      <w:r>
        <w:t>zdravstvene i veterinarske usluge – porast rashoda za usluge drugih zdravstvenih ustanova (gensko profiliranje)</w:t>
      </w:r>
    </w:p>
    <w:p w:rsidR="00EB6F6A" w:rsidRDefault="00286458">
      <w:pPr>
        <w:pStyle w:val="ListParagraph"/>
        <w:numPr>
          <w:ilvl w:val="0"/>
          <w:numId w:val="1"/>
        </w:numPr>
        <w:jc w:val="both"/>
      </w:pPr>
      <w:r>
        <w:t>intelektualne i osobne usluge – porast rashoda za odvjetničke usluge i usluge student servisa</w:t>
      </w:r>
    </w:p>
    <w:p w:rsidR="00EB6F6A" w:rsidRDefault="00286458">
      <w:pPr>
        <w:pStyle w:val="ListParagraph"/>
        <w:numPr>
          <w:ilvl w:val="0"/>
          <w:numId w:val="1"/>
        </w:numPr>
        <w:jc w:val="both"/>
      </w:pPr>
      <w:r>
        <w:t>računalne usluge – održavanje softvera t</w:t>
      </w:r>
      <w:r>
        <w:t>e održavanja i nadogradnje sustava (IBIS) </w:t>
      </w:r>
    </w:p>
    <w:p w:rsidR="00EB6F6A" w:rsidRDefault="00286458">
      <w:pPr>
        <w:pStyle w:val="ListParagraph"/>
        <w:numPr>
          <w:ilvl w:val="0"/>
          <w:numId w:val="1"/>
        </w:numPr>
        <w:jc w:val="both"/>
      </w:pPr>
      <w:r>
        <w:t>ostale usluge – porast rashoda za usluge čišćenja i pranja</w:t>
      </w:r>
    </w:p>
    <w:p w:rsidR="00EB6F6A" w:rsidRDefault="00EB6F6A"/>
    <w:p w:rsidR="00EB6F6A" w:rsidRDefault="00286458">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325</w:t>
            </w:r>
          </w:p>
        </w:tc>
        <w:tc>
          <w:tcPr>
            <w:tcW w:w="3180" w:type="dxa"/>
            <w:tcMar>
              <w:top w:w="0" w:type="dxa"/>
              <w:bottom w:w="0" w:type="dxa"/>
            </w:tcMar>
            <w:vAlign w:val="center"/>
          </w:tcPr>
          <w:p w:rsidR="00EB6F6A" w:rsidRDefault="00286458">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EB6F6A" w:rsidRDefault="00286458">
            <w:pPr>
              <w:keepNext/>
              <w:keepLines/>
              <w:spacing w:after="0" w:line="240" w:lineRule="auto"/>
            </w:pPr>
            <w:r>
              <w:rPr>
                <w:sz w:val="18"/>
              </w:rPr>
              <w:t>325</w:t>
            </w:r>
          </w:p>
        </w:tc>
        <w:tc>
          <w:tcPr>
            <w:tcW w:w="1860" w:type="dxa"/>
            <w:tcMar>
              <w:top w:w="0" w:type="dxa"/>
              <w:bottom w:w="0" w:type="dxa"/>
            </w:tcMar>
            <w:vAlign w:val="center"/>
          </w:tcPr>
          <w:p w:rsidR="00EB6F6A" w:rsidRDefault="00286458">
            <w:pPr>
              <w:keepNext/>
              <w:keepLines/>
              <w:spacing w:after="0" w:line="240" w:lineRule="auto"/>
              <w:jc w:val="right"/>
            </w:pPr>
            <w:r>
              <w:rPr>
                <w:sz w:val="18"/>
              </w:rPr>
              <w:t>0,00</w:t>
            </w:r>
          </w:p>
        </w:tc>
        <w:tc>
          <w:tcPr>
            <w:tcW w:w="1860" w:type="dxa"/>
            <w:tcMar>
              <w:top w:w="0" w:type="dxa"/>
              <w:bottom w:w="0" w:type="dxa"/>
            </w:tcMar>
            <w:vAlign w:val="center"/>
          </w:tcPr>
          <w:p w:rsidR="00EB6F6A" w:rsidRDefault="00286458">
            <w:pPr>
              <w:keepNext/>
              <w:keepLines/>
              <w:spacing w:after="0" w:line="240" w:lineRule="auto"/>
              <w:jc w:val="right"/>
            </w:pPr>
            <w:r>
              <w:rPr>
                <w:sz w:val="18"/>
              </w:rPr>
              <w:t>379.430.606,89</w:t>
            </w:r>
          </w:p>
        </w:tc>
        <w:tc>
          <w:tcPr>
            <w:tcW w:w="700" w:type="dxa"/>
            <w:tcMar>
              <w:top w:w="0" w:type="dxa"/>
              <w:bottom w:w="0" w:type="dxa"/>
            </w:tcMar>
            <w:vAlign w:val="center"/>
          </w:tcPr>
          <w:p w:rsidR="00EB6F6A" w:rsidRDefault="00286458">
            <w:pPr>
              <w:keepNext/>
              <w:keepLines/>
              <w:spacing w:after="0" w:line="240" w:lineRule="auto"/>
              <w:jc w:val="right"/>
            </w:pPr>
            <w:r>
              <w:rPr>
                <w:sz w:val="18"/>
              </w:rPr>
              <w:t>-</w:t>
            </w:r>
          </w:p>
        </w:tc>
      </w:tr>
    </w:tbl>
    <w:p w:rsidR="00EB6F6A" w:rsidRDefault="00EB6F6A">
      <w:pPr>
        <w:spacing w:after="0"/>
      </w:pPr>
    </w:p>
    <w:p w:rsidR="00EB6F6A" w:rsidRDefault="00286458">
      <w:pPr>
        <w:jc w:val="both"/>
      </w:pPr>
      <w:r>
        <w:t>Razlog povećanja ostvarenih rashoda lijekova i potrošnog medicinskog materijala kod zdravstvenih ustanova (Šifra 325) proizlazi iz promjene načina evidentiranja rashoda za lijekove, medicinski potrošni materijal te krv i krvne pripravke od 1.1.2025. godine</w:t>
      </w:r>
      <w:r>
        <w:t xml:space="preserve">. Sukladno novom Pravilniku o proračunskom računovodstvu i Računskom planu otvorena je nova </w:t>
      </w:r>
      <w:r>
        <w:lastRenderedPageBreak/>
        <w:t>podskupina 325 – Rashodi lijekova i potrošnog medicinskog materijala kod zdravstvenih ustanova (Šifra 325) te se shodno navedenom svi rashodi vezani za lijekove, me</w:t>
      </w:r>
      <w:r>
        <w:t>dicinski potrošni materijal te krv i krvne pripravke evidentiraju se u podskupini 325 Računskog plana.</w:t>
      </w:r>
    </w:p>
    <w:p w:rsidR="00EB6F6A" w:rsidRDefault="00EB6F6A"/>
    <w:p w:rsidR="00EB6F6A" w:rsidRDefault="00286458">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34</w:t>
            </w:r>
          </w:p>
        </w:tc>
        <w:tc>
          <w:tcPr>
            <w:tcW w:w="3180" w:type="dxa"/>
            <w:tcMar>
              <w:top w:w="0" w:type="dxa"/>
              <w:bottom w:w="0" w:type="dxa"/>
            </w:tcMar>
            <w:vAlign w:val="center"/>
          </w:tcPr>
          <w:p w:rsidR="00EB6F6A" w:rsidRDefault="00286458">
            <w:pPr>
              <w:keepNext/>
              <w:keepLines/>
              <w:spacing w:after="0" w:line="240" w:lineRule="auto"/>
            </w:pPr>
            <w:r>
              <w:rPr>
                <w:sz w:val="18"/>
              </w:rPr>
              <w:t>Financijski rashodi (šifre 341+342+343)</w:t>
            </w:r>
          </w:p>
        </w:tc>
        <w:tc>
          <w:tcPr>
            <w:tcW w:w="700" w:type="dxa"/>
            <w:tcMar>
              <w:top w:w="0" w:type="dxa"/>
              <w:bottom w:w="0" w:type="dxa"/>
            </w:tcMar>
            <w:vAlign w:val="center"/>
          </w:tcPr>
          <w:p w:rsidR="00EB6F6A" w:rsidRDefault="00286458">
            <w:pPr>
              <w:keepNext/>
              <w:keepLines/>
              <w:spacing w:after="0" w:line="240" w:lineRule="auto"/>
            </w:pPr>
            <w:r>
              <w:rPr>
                <w:sz w:val="18"/>
              </w:rPr>
              <w:t>34</w:t>
            </w:r>
          </w:p>
        </w:tc>
        <w:tc>
          <w:tcPr>
            <w:tcW w:w="1860" w:type="dxa"/>
            <w:tcMar>
              <w:top w:w="0" w:type="dxa"/>
              <w:bottom w:w="0" w:type="dxa"/>
            </w:tcMar>
            <w:vAlign w:val="center"/>
          </w:tcPr>
          <w:p w:rsidR="00EB6F6A" w:rsidRDefault="00286458">
            <w:pPr>
              <w:keepNext/>
              <w:keepLines/>
              <w:spacing w:after="0" w:line="240" w:lineRule="auto"/>
              <w:jc w:val="right"/>
            </w:pPr>
            <w:r>
              <w:rPr>
                <w:sz w:val="18"/>
              </w:rPr>
              <w:t>3.651.331,22</w:t>
            </w:r>
          </w:p>
        </w:tc>
        <w:tc>
          <w:tcPr>
            <w:tcW w:w="1860" w:type="dxa"/>
            <w:tcMar>
              <w:top w:w="0" w:type="dxa"/>
              <w:bottom w:w="0" w:type="dxa"/>
            </w:tcMar>
            <w:vAlign w:val="center"/>
          </w:tcPr>
          <w:p w:rsidR="00EB6F6A" w:rsidRDefault="00286458">
            <w:pPr>
              <w:keepNext/>
              <w:keepLines/>
              <w:spacing w:after="0" w:line="240" w:lineRule="auto"/>
              <w:jc w:val="right"/>
            </w:pPr>
            <w:r>
              <w:rPr>
                <w:sz w:val="18"/>
              </w:rPr>
              <w:t>12.374.945,58</w:t>
            </w:r>
          </w:p>
        </w:tc>
        <w:tc>
          <w:tcPr>
            <w:tcW w:w="700" w:type="dxa"/>
            <w:tcMar>
              <w:top w:w="0" w:type="dxa"/>
              <w:bottom w:w="0" w:type="dxa"/>
            </w:tcMar>
            <w:vAlign w:val="center"/>
          </w:tcPr>
          <w:p w:rsidR="00EB6F6A" w:rsidRDefault="00286458">
            <w:pPr>
              <w:keepNext/>
              <w:keepLines/>
              <w:spacing w:after="0" w:line="240" w:lineRule="auto"/>
              <w:jc w:val="right"/>
            </w:pPr>
            <w:r>
              <w:rPr>
                <w:sz w:val="18"/>
              </w:rPr>
              <w:t>338,9</w:t>
            </w:r>
          </w:p>
        </w:tc>
      </w:tr>
    </w:tbl>
    <w:p w:rsidR="00EB6F6A" w:rsidRDefault="00EB6F6A">
      <w:pPr>
        <w:spacing w:after="0"/>
      </w:pPr>
    </w:p>
    <w:p w:rsidR="00EB6F6A" w:rsidRDefault="00286458">
      <w:pPr>
        <w:jc w:val="both"/>
      </w:pPr>
      <w:r>
        <w:t xml:space="preserve">Financijski rashodi (Šifra 34) prema proračunskom računovodstvu u razdoblju od 1. siječnja do 31. prosinca 2025. godine ostvareni su u iznosu od 12.374.946 EUR što je višestruko povećanje u odnosu na isto razdoblje prethodne godine. Povećanje financijskih </w:t>
      </w:r>
      <w:r>
        <w:t>rashoda u izvještajnom razdoblju prvenstveno proizlazi iz obračuna zakonskih zateznih kamata od strane dobavljača (</w:t>
      </w:r>
      <w:proofErr w:type="spellStart"/>
      <w:r>
        <w:t>veledrogerija</w:t>
      </w:r>
      <w:proofErr w:type="spellEnd"/>
      <w:r>
        <w:t>), a temeljem kašnjenja u podmirivanju dospjelih obveza za isporučene lijekove i medicinski potrošni materijal.</w:t>
      </w:r>
    </w:p>
    <w:p w:rsidR="00EB6F6A" w:rsidRDefault="00EB6F6A"/>
    <w:p w:rsidR="00EB6F6A" w:rsidRDefault="00286458">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Ra</w:t>
            </w:r>
            <w:r>
              <w:rPr>
                <w:b/>
                <w:sz w:val="18"/>
              </w:rPr>
              <w:t xml:space="preserve">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369</w:t>
            </w:r>
          </w:p>
        </w:tc>
        <w:tc>
          <w:tcPr>
            <w:tcW w:w="3180" w:type="dxa"/>
            <w:tcMar>
              <w:top w:w="0" w:type="dxa"/>
              <w:bottom w:w="0" w:type="dxa"/>
            </w:tcMar>
            <w:vAlign w:val="center"/>
          </w:tcPr>
          <w:p w:rsidR="00EB6F6A" w:rsidRDefault="00286458">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rsidR="00EB6F6A" w:rsidRDefault="00286458">
            <w:pPr>
              <w:keepNext/>
              <w:keepLines/>
              <w:spacing w:after="0" w:line="240" w:lineRule="auto"/>
            </w:pPr>
            <w:r>
              <w:rPr>
                <w:sz w:val="18"/>
              </w:rPr>
              <w:t>369</w:t>
            </w:r>
          </w:p>
        </w:tc>
        <w:tc>
          <w:tcPr>
            <w:tcW w:w="1860" w:type="dxa"/>
            <w:tcMar>
              <w:top w:w="0" w:type="dxa"/>
              <w:bottom w:w="0" w:type="dxa"/>
            </w:tcMar>
            <w:vAlign w:val="center"/>
          </w:tcPr>
          <w:p w:rsidR="00EB6F6A" w:rsidRDefault="00286458">
            <w:pPr>
              <w:keepNext/>
              <w:keepLines/>
              <w:spacing w:after="0" w:line="240" w:lineRule="auto"/>
              <w:jc w:val="right"/>
            </w:pPr>
            <w:r>
              <w:rPr>
                <w:sz w:val="18"/>
              </w:rPr>
              <w:t>7.208,37</w:t>
            </w:r>
          </w:p>
        </w:tc>
        <w:tc>
          <w:tcPr>
            <w:tcW w:w="1860" w:type="dxa"/>
            <w:tcMar>
              <w:top w:w="0" w:type="dxa"/>
              <w:bottom w:w="0" w:type="dxa"/>
            </w:tcMar>
            <w:vAlign w:val="center"/>
          </w:tcPr>
          <w:p w:rsidR="00EB6F6A" w:rsidRDefault="00286458">
            <w:pPr>
              <w:keepNext/>
              <w:keepLines/>
              <w:spacing w:after="0" w:line="240" w:lineRule="auto"/>
              <w:jc w:val="right"/>
            </w:pPr>
            <w:r>
              <w:rPr>
                <w:sz w:val="18"/>
              </w:rPr>
              <w:t>33.651,74</w:t>
            </w:r>
          </w:p>
        </w:tc>
        <w:tc>
          <w:tcPr>
            <w:tcW w:w="700" w:type="dxa"/>
            <w:tcMar>
              <w:top w:w="0" w:type="dxa"/>
              <w:bottom w:w="0" w:type="dxa"/>
            </w:tcMar>
            <w:vAlign w:val="center"/>
          </w:tcPr>
          <w:p w:rsidR="00EB6F6A" w:rsidRDefault="00286458">
            <w:pPr>
              <w:keepNext/>
              <w:keepLines/>
              <w:spacing w:after="0" w:line="240" w:lineRule="auto"/>
              <w:jc w:val="right"/>
            </w:pPr>
            <w:r>
              <w:rPr>
                <w:sz w:val="18"/>
              </w:rPr>
              <w:t>466,8</w:t>
            </w:r>
          </w:p>
        </w:tc>
      </w:tr>
    </w:tbl>
    <w:p w:rsidR="00EB6F6A" w:rsidRDefault="00EB6F6A">
      <w:pPr>
        <w:spacing w:after="0"/>
      </w:pPr>
    </w:p>
    <w:p w:rsidR="00EB6F6A" w:rsidRDefault="00286458">
      <w:pPr>
        <w:jc w:val="both"/>
      </w:pPr>
      <w:r>
        <w:t>Prijenosi između proračunskih korisnika istog proračuna (šifra 369) u razdoblju od 1. siječnja do 31. prosinca 2025. godine ostvareni su u iznosu od 33.652 EUR. Povećanje prijenosa između proračunskih korisnika istog proračuna u izvještajnom razdob</w:t>
      </w:r>
      <w:r>
        <w:t>lju odnosi se na prijenos sredstava KBC-u Sestre Milosrdnice za projekt „</w:t>
      </w:r>
      <w:proofErr w:type="spellStart"/>
      <w:r>
        <w:t>The</w:t>
      </w:r>
      <w:proofErr w:type="spellEnd"/>
      <w:r>
        <w:t xml:space="preserve"> European </w:t>
      </w:r>
      <w:proofErr w:type="spellStart"/>
      <w:r>
        <w:t>Comprehensive</w:t>
      </w:r>
      <w:proofErr w:type="spellEnd"/>
      <w:r>
        <w:t xml:space="preserve"> </w:t>
      </w:r>
      <w:proofErr w:type="spellStart"/>
      <w:r>
        <w:t>Cancer</w:t>
      </w:r>
      <w:proofErr w:type="spellEnd"/>
      <w:r>
        <w:t xml:space="preserve"> Centre Network – </w:t>
      </w:r>
      <w:proofErr w:type="spellStart"/>
      <w:r>
        <w:t>EUnetCCC</w:t>
      </w:r>
      <w:proofErr w:type="spellEnd"/>
      <w:r>
        <w:t>“ sukladno sporazumu o partnerstvu na projektu.</w:t>
      </w:r>
    </w:p>
    <w:p w:rsidR="00EB6F6A" w:rsidRDefault="00EB6F6A"/>
    <w:p w:rsidR="00EB6F6A" w:rsidRDefault="00286458">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37</w:t>
            </w:r>
          </w:p>
        </w:tc>
        <w:tc>
          <w:tcPr>
            <w:tcW w:w="3180" w:type="dxa"/>
            <w:tcMar>
              <w:top w:w="0" w:type="dxa"/>
              <w:bottom w:w="0" w:type="dxa"/>
            </w:tcMar>
            <w:vAlign w:val="center"/>
          </w:tcPr>
          <w:p w:rsidR="00EB6F6A" w:rsidRDefault="00286458">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EB6F6A" w:rsidRDefault="00286458">
            <w:pPr>
              <w:keepNext/>
              <w:keepLines/>
              <w:spacing w:after="0" w:line="240" w:lineRule="auto"/>
            </w:pPr>
            <w:r>
              <w:rPr>
                <w:sz w:val="18"/>
              </w:rPr>
              <w:t>37</w:t>
            </w:r>
          </w:p>
        </w:tc>
        <w:tc>
          <w:tcPr>
            <w:tcW w:w="1860" w:type="dxa"/>
            <w:tcMar>
              <w:top w:w="0" w:type="dxa"/>
              <w:bottom w:w="0" w:type="dxa"/>
            </w:tcMar>
            <w:vAlign w:val="center"/>
          </w:tcPr>
          <w:p w:rsidR="00EB6F6A" w:rsidRDefault="00286458">
            <w:pPr>
              <w:keepNext/>
              <w:keepLines/>
              <w:spacing w:after="0" w:line="240" w:lineRule="auto"/>
              <w:jc w:val="right"/>
            </w:pPr>
            <w:r>
              <w:rPr>
                <w:sz w:val="18"/>
              </w:rPr>
              <w:t>89.106,34</w:t>
            </w:r>
          </w:p>
        </w:tc>
        <w:tc>
          <w:tcPr>
            <w:tcW w:w="1860" w:type="dxa"/>
            <w:tcMar>
              <w:top w:w="0" w:type="dxa"/>
              <w:bottom w:w="0" w:type="dxa"/>
            </w:tcMar>
            <w:vAlign w:val="center"/>
          </w:tcPr>
          <w:p w:rsidR="00EB6F6A" w:rsidRDefault="00286458">
            <w:pPr>
              <w:keepNext/>
              <w:keepLines/>
              <w:spacing w:after="0" w:line="240" w:lineRule="auto"/>
              <w:jc w:val="right"/>
            </w:pPr>
            <w:r>
              <w:rPr>
                <w:sz w:val="18"/>
              </w:rPr>
              <w:t>323.398,78</w:t>
            </w:r>
          </w:p>
        </w:tc>
        <w:tc>
          <w:tcPr>
            <w:tcW w:w="700" w:type="dxa"/>
            <w:tcMar>
              <w:top w:w="0" w:type="dxa"/>
              <w:bottom w:w="0" w:type="dxa"/>
            </w:tcMar>
            <w:vAlign w:val="center"/>
          </w:tcPr>
          <w:p w:rsidR="00EB6F6A" w:rsidRDefault="00286458">
            <w:pPr>
              <w:keepNext/>
              <w:keepLines/>
              <w:spacing w:after="0" w:line="240" w:lineRule="auto"/>
              <w:jc w:val="right"/>
            </w:pPr>
            <w:r>
              <w:rPr>
                <w:sz w:val="18"/>
              </w:rPr>
              <w:t>362,9</w:t>
            </w:r>
          </w:p>
        </w:tc>
      </w:tr>
    </w:tbl>
    <w:p w:rsidR="00EB6F6A" w:rsidRDefault="00EB6F6A">
      <w:pPr>
        <w:spacing w:after="0"/>
      </w:pPr>
    </w:p>
    <w:p w:rsidR="00EB6F6A" w:rsidRDefault="00286458">
      <w:pPr>
        <w:jc w:val="both"/>
      </w:pPr>
      <w:r>
        <w:t>Nagrade građanima i kućanstvima na temelju osiguranja i druge naknade (šifra 37) u razdoblju od 1. siječnja do 31. prosinca 2025. godine ostvarene su u iznosu 323.399 EUR što je višestruko povećanje u odnosu na isto razdoblje prethodne godine. Razlog poveć</w:t>
      </w:r>
      <w:r>
        <w:t>anja naknada građanima i kućanstvima rezultat je Odluke KBC-a Zagreb o dodjeli stipendija redovitim učenicima srednje medicinske škole, redovitim studentima prijediplomskog studija sestrinstva, prijediplomskog studija medicinsko laboratorijske dijagnostike</w:t>
      </w:r>
      <w:r>
        <w:t xml:space="preserve"> i prijediplomskog </w:t>
      </w:r>
      <w:r>
        <w:lastRenderedPageBreak/>
        <w:t>studija radiološke tehnologije od 30. rujna 2025. godine te značajno povećanje cijena školarina za upis na specijalistički studij.</w:t>
      </w:r>
    </w:p>
    <w:p w:rsidR="00EB6F6A" w:rsidRDefault="00EB6F6A"/>
    <w:p w:rsidR="00EB6F6A" w:rsidRDefault="00286458">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w:t>
            </w:r>
            <w:r>
              <w:rPr>
                <w:b/>
                <w:sz w:val="18"/>
              </w:rPr>
              <w:t>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4</w:t>
            </w:r>
          </w:p>
        </w:tc>
        <w:tc>
          <w:tcPr>
            <w:tcW w:w="3180" w:type="dxa"/>
            <w:tcMar>
              <w:top w:w="0" w:type="dxa"/>
              <w:bottom w:w="0" w:type="dxa"/>
            </w:tcMar>
            <w:vAlign w:val="center"/>
          </w:tcPr>
          <w:p w:rsidR="00EB6F6A" w:rsidRDefault="0028645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EB6F6A" w:rsidRDefault="00286458">
            <w:pPr>
              <w:keepNext/>
              <w:keepLines/>
              <w:spacing w:after="0" w:line="240" w:lineRule="auto"/>
            </w:pPr>
            <w:r>
              <w:rPr>
                <w:sz w:val="18"/>
              </w:rPr>
              <w:t>4</w:t>
            </w:r>
          </w:p>
        </w:tc>
        <w:tc>
          <w:tcPr>
            <w:tcW w:w="1860" w:type="dxa"/>
            <w:tcMar>
              <w:top w:w="0" w:type="dxa"/>
              <w:bottom w:w="0" w:type="dxa"/>
            </w:tcMar>
            <w:vAlign w:val="center"/>
          </w:tcPr>
          <w:p w:rsidR="00EB6F6A" w:rsidRDefault="00286458">
            <w:pPr>
              <w:keepNext/>
              <w:keepLines/>
              <w:spacing w:after="0" w:line="240" w:lineRule="auto"/>
              <w:jc w:val="right"/>
            </w:pPr>
            <w:r>
              <w:rPr>
                <w:sz w:val="18"/>
              </w:rPr>
              <w:t>81.860.093,01</w:t>
            </w:r>
          </w:p>
        </w:tc>
        <w:tc>
          <w:tcPr>
            <w:tcW w:w="1860" w:type="dxa"/>
            <w:tcMar>
              <w:top w:w="0" w:type="dxa"/>
              <w:bottom w:w="0" w:type="dxa"/>
            </w:tcMar>
            <w:vAlign w:val="center"/>
          </w:tcPr>
          <w:p w:rsidR="00EB6F6A" w:rsidRDefault="00286458">
            <w:pPr>
              <w:keepNext/>
              <w:keepLines/>
              <w:spacing w:after="0" w:line="240" w:lineRule="auto"/>
              <w:jc w:val="right"/>
            </w:pPr>
            <w:r>
              <w:rPr>
                <w:sz w:val="18"/>
              </w:rPr>
              <w:t>70.102.820,71</w:t>
            </w:r>
          </w:p>
        </w:tc>
        <w:tc>
          <w:tcPr>
            <w:tcW w:w="700" w:type="dxa"/>
            <w:tcMar>
              <w:top w:w="0" w:type="dxa"/>
              <w:bottom w:w="0" w:type="dxa"/>
            </w:tcMar>
            <w:vAlign w:val="center"/>
          </w:tcPr>
          <w:p w:rsidR="00EB6F6A" w:rsidRDefault="00286458">
            <w:pPr>
              <w:keepNext/>
              <w:keepLines/>
              <w:spacing w:after="0" w:line="240" w:lineRule="auto"/>
              <w:jc w:val="right"/>
            </w:pPr>
            <w:r>
              <w:rPr>
                <w:sz w:val="18"/>
              </w:rPr>
              <w:t>85,6</w:t>
            </w:r>
          </w:p>
        </w:tc>
      </w:tr>
    </w:tbl>
    <w:p w:rsidR="00EB6F6A" w:rsidRDefault="00EB6F6A">
      <w:pPr>
        <w:spacing w:after="0"/>
      </w:pPr>
    </w:p>
    <w:p w:rsidR="00EB6F6A" w:rsidRDefault="00286458">
      <w:pPr>
        <w:jc w:val="both"/>
      </w:pPr>
      <w:r>
        <w:t xml:space="preserve">Rashodi za nabavu nefinancijske imovine (Šifra 4) u razdoblju od 1. siječnja do 31. prosinca 2025. godine ostvareni su u iznosu od 70.102.821 EUR što je za 14,4% manje u odnosu na isto razdoblje prethodne godine. Od navedenih rashoda najveći dio odnosi se </w:t>
      </w:r>
      <w:r>
        <w:t>na dodatna ulaganja na građevinskim objektima (53.155.971 EUR), rashode za nabavu medicinske i laboratorijske opreme (9.682.009 EUR), te ulaganja u poslovne objekte (3.625.532 EUR).</w:t>
      </w:r>
    </w:p>
    <w:p w:rsidR="00EB6F6A" w:rsidRDefault="00EB6F6A"/>
    <w:p w:rsidR="00EB6F6A" w:rsidRDefault="00286458">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w:t>
            </w:r>
            <w:r>
              <w:rPr>
                <w:b/>
                <w:sz w:val="18"/>
              </w:rPr>
              <w:t>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412</w:t>
            </w:r>
          </w:p>
        </w:tc>
        <w:tc>
          <w:tcPr>
            <w:tcW w:w="3180" w:type="dxa"/>
            <w:tcMar>
              <w:top w:w="0" w:type="dxa"/>
              <w:bottom w:w="0" w:type="dxa"/>
            </w:tcMar>
            <w:vAlign w:val="center"/>
          </w:tcPr>
          <w:p w:rsidR="00EB6F6A" w:rsidRDefault="00286458">
            <w:pPr>
              <w:keepNext/>
              <w:keepLines/>
              <w:spacing w:after="0" w:line="240" w:lineRule="auto"/>
            </w:pPr>
            <w:r>
              <w:rPr>
                <w:sz w:val="18"/>
              </w:rPr>
              <w:t>Nematerijalna imovina (šifre 4121 do 4126)</w:t>
            </w:r>
          </w:p>
        </w:tc>
        <w:tc>
          <w:tcPr>
            <w:tcW w:w="700" w:type="dxa"/>
            <w:tcMar>
              <w:top w:w="0" w:type="dxa"/>
              <w:bottom w:w="0" w:type="dxa"/>
            </w:tcMar>
            <w:vAlign w:val="center"/>
          </w:tcPr>
          <w:p w:rsidR="00EB6F6A" w:rsidRDefault="00286458">
            <w:pPr>
              <w:keepNext/>
              <w:keepLines/>
              <w:spacing w:after="0" w:line="240" w:lineRule="auto"/>
            </w:pPr>
            <w:r>
              <w:rPr>
                <w:sz w:val="18"/>
              </w:rPr>
              <w:t>412</w:t>
            </w:r>
          </w:p>
        </w:tc>
        <w:tc>
          <w:tcPr>
            <w:tcW w:w="1860" w:type="dxa"/>
            <w:tcMar>
              <w:top w:w="0" w:type="dxa"/>
              <w:bottom w:w="0" w:type="dxa"/>
            </w:tcMar>
            <w:vAlign w:val="center"/>
          </w:tcPr>
          <w:p w:rsidR="00EB6F6A" w:rsidRDefault="00286458">
            <w:pPr>
              <w:keepNext/>
              <w:keepLines/>
              <w:spacing w:after="0" w:line="240" w:lineRule="auto"/>
              <w:jc w:val="right"/>
            </w:pPr>
            <w:r>
              <w:rPr>
                <w:sz w:val="18"/>
              </w:rPr>
              <w:t>76.902,56</w:t>
            </w:r>
          </w:p>
        </w:tc>
        <w:tc>
          <w:tcPr>
            <w:tcW w:w="1860" w:type="dxa"/>
            <w:tcMar>
              <w:top w:w="0" w:type="dxa"/>
              <w:bottom w:w="0" w:type="dxa"/>
            </w:tcMar>
            <w:vAlign w:val="center"/>
          </w:tcPr>
          <w:p w:rsidR="00EB6F6A" w:rsidRDefault="00286458">
            <w:pPr>
              <w:keepNext/>
              <w:keepLines/>
              <w:spacing w:after="0" w:line="240" w:lineRule="auto"/>
              <w:jc w:val="right"/>
            </w:pPr>
            <w:r>
              <w:rPr>
                <w:sz w:val="18"/>
              </w:rPr>
              <w:t>731.448,14</w:t>
            </w:r>
          </w:p>
        </w:tc>
        <w:tc>
          <w:tcPr>
            <w:tcW w:w="700" w:type="dxa"/>
            <w:tcMar>
              <w:top w:w="0" w:type="dxa"/>
              <w:bottom w:w="0" w:type="dxa"/>
            </w:tcMar>
            <w:vAlign w:val="center"/>
          </w:tcPr>
          <w:p w:rsidR="00EB6F6A" w:rsidRDefault="00286458">
            <w:pPr>
              <w:keepNext/>
              <w:keepLines/>
              <w:spacing w:after="0" w:line="240" w:lineRule="auto"/>
              <w:jc w:val="right"/>
            </w:pPr>
            <w:r>
              <w:rPr>
                <w:sz w:val="18"/>
              </w:rPr>
              <w:t>951,1</w:t>
            </w:r>
          </w:p>
        </w:tc>
      </w:tr>
    </w:tbl>
    <w:p w:rsidR="00EB6F6A" w:rsidRDefault="00EB6F6A">
      <w:pPr>
        <w:spacing w:after="0"/>
      </w:pPr>
    </w:p>
    <w:p w:rsidR="00EB6F6A" w:rsidRDefault="00286458">
      <w:pPr>
        <w:jc w:val="both"/>
      </w:pPr>
      <w:r>
        <w:t xml:space="preserve">Višestruko povećanje rashoda za licence odnosi se na nadogradnju licence aplikativnog sustava za centralnu pripremu citostatika - CATO sustav (76.125 EUR), nabavu licence za Microsoftov softver (576.489 EUR) te sustav za centraliziranu </w:t>
      </w:r>
      <w:proofErr w:type="spellStart"/>
      <w:r>
        <w:t>autentifikaciju</w:t>
      </w:r>
      <w:proofErr w:type="spellEnd"/>
      <w:r>
        <w:t xml:space="preserve"> i </w:t>
      </w:r>
      <w:proofErr w:type="spellStart"/>
      <w:r>
        <w:t>to</w:t>
      </w:r>
      <w:r>
        <w:t>ken</w:t>
      </w:r>
      <w:proofErr w:type="spellEnd"/>
      <w:r>
        <w:t xml:space="preserve"> licence (37.850 EUR).</w:t>
      </w:r>
    </w:p>
    <w:p w:rsidR="00EB6F6A" w:rsidRDefault="00EB6F6A"/>
    <w:p w:rsidR="00EB6F6A" w:rsidRDefault="00286458">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421</w:t>
            </w:r>
          </w:p>
        </w:tc>
        <w:tc>
          <w:tcPr>
            <w:tcW w:w="3180" w:type="dxa"/>
            <w:tcMar>
              <w:top w:w="0" w:type="dxa"/>
              <w:bottom w:w="0" w:type="dxa"/>
            </w:tcMar>
            <w:vAlign w:val="center"/>
          </w:tcPr>
          <w:p w:rsidR="00EB6F6A" w:rsidRDefault="00286458">
            <w:pPr>
              <w:keepNext/>
              <w:keepLines/>
              <w:spacing w:after="0" w:line="240" w:lineRule="auto"/>
            </w:pPr>
            <w:r>
              <w:rPr>
                <w:sz w:val="18"/>
              </w:rPr>
              <w:t>Građevinski objekti (šifre 4211 do 4214)</w:t>
            </w:r>
          </w:p>
        </w:tc>
        <w:tc>
          <w:tcPr>
            <w:tcW w:w="700" w:type="dxa"/>
            <w:tcMar>
              <w:top w:w="0" w:type="dxa"/>
              <w:bottom w:w="0" w:type="dxa"/>
            </w:tcMar>
            <w:vAlign w:val="center"/>
          </w:tcPr>
          <w:p w:rsidR="00EB6F6A" w:rsidRDefault="00286458">
            <w:pPr>
              <w:keepNext/>
              <w:keepLines/>
              <w:spacing w:after="0" w:line="240" w:lineRule="auto"/>
            </w:pPr>
            <w:r>
              <w:rPr>
                <w:sz w:val="18"/>
              </w:rPr>
              <w:t>421</w:t>
            </w:r>
          </w:p>
        </w:tc>
        <w:tc>
          <w:tcPr>
            <w:tcW w:w="1860" w:type="dxa"/>
            <w:tcMar>
              <w:top w:w="0" w:type="dxa"/>
              <w:bottom w:w="0" w:type="dxa"/>
            </w:tcMar>
            <w:vAlign w:val="center"/>
          </w:tcPr>
          <w:p w:rsidR="00EB6F6A" w:rsidRDefault="00286458">
            <w:pPr>
              <w:keepNext/>
              <w:keepLines/>
              <w:spacing w:after="0" w:line="240" w:lineRule="auto"/>
              <w:jc w:val="right"/>
            </w:pPr>
            <w:r>
              <w:rPr>
                <w:sz w:val="18"/>
              </w:rPr>
              <w:t>6.208.483,98</w:t>
            </w:r>
          </w:p>
        </w:tc>
        <w:tc>
          <w:tcPr>
            <w:tcW w:w="1860" w:type="dxa"/>
            <w:tcMar>
              <w:top w:w="0" w:type="dxa"/>
              <w:bottom w:w="0" w:type="dxa"/>
            </w:tcMar>
            <w:vAlign w:val="center"/>
          </w:tcPr>
          <w:p w:rsidR="00EB6F6A" w:rsidRDefault="00286458">
            <w:pPr>
              <w:keepNext/>
              <w:keepLines/>
              <w:spacing w:after="0" w:line="240" w:lineRule="auto"/>
              <w:jc w:val="right"/>
            </w:pPr>
            <w:r>
              <w:rPr>
                <w:sz w:val="18"/>
              </w:rPr>
              <w:t>3.625.531,85</w:t>
            </w:r>
          </w:p>
        </w:tc>
        <w:tc>
          <w:tcPr>
            <w:tcW w:w="700" w:type="dxa"/>
            <w:tcMar>
              <w:top w:w="0" w:type="dxa"/>
              <w:bottom w:w="0" w:type="dxa"/>
            </w:tcMar>
            <w:vAlign w:val="center"/>
          </w:tcPr>
          <w:p w:rsidR="00EB6F6A" w:rsidRDefault="00286458">
            <w:pPr>
              <w:keepNext/>
              <w:keepLines/>
              <w:spacing w:after="0" w:line="240" w:lineRule="auto"/>
              <w:jc w:val="right"/>
            </w:pPr>
            <w:r>
              <w:rPr>
                <w:sz w:val="18"/>
              </w:rPr>
              <w:t>58,4</w:t>
            </w:r>
          </w:p>
        </w:tc>
      </w:tr>
    </w:tbl>
    <w:p w:rsidR="00EB6F6A" w:rsidRDefault="00EB6F6A">
      <w:pPr>
        <w:spacing w:after="0"/>
      </w:pPr>
    </w:p>
    <w:p w:rsidR="00EB6F6A" w:rsidRDefault="00286458">
      <w:pPr>
        <w:jc w:val="both"/>
      </w:pPr>
      <w:r>
        <w:t>U izvještajnom razdoblju ostvareno je manje ulaganja u građevinske objekte u odnosu na isto razdoblje prethodne godine. Ulaganje se odnosi na radove na izgradnji bunkera za smještaj novog linearnog akceleratora (2.830.646 EUR) te izradu i montažu privremen</w:t>
      </w:r>
      <w:r>
        <w:t>og objekta za smještaj bolničke kuhinje (735.093EUR).</w:t>
      </w:r>
    </w:p>
    <w:p w:rsidR="00EB6F6A" w:rsidRDefault="00EB6F6A"/>
    <w:p w:rsidR="00EB6F6A" w:rsidRDefault="00286458">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4221</w:t>
            </w:r>
          </w:p>
        </w:tc>
        <w:tc>
          <w:tcPr>
            <w:tcW w:w="3180" w:type="dxa"/>
            <w:tcMar>
              <w:top w:w="0" w:type="dxa"/>
              <w:bottom w:w="0" w:type="dxa"/>
            </w:tcMar>
            <w:vAlign w:val="center"/>
          </w:tcPr>
          <w:p w:rsidR="00EB6F6A" w:rsidRDefault="00286458">
            <w:pPr>
              <w:keepNext/>
              <w:keepLines/>
              <w:spacing w:after="0" w:line="240" w:lineRule="auto"/>
            </w:pPr>
            <w:r>
              <w:rPr>
                <w:sz w:val="18"/>
              </w:rPr>
              <w:t>Uredska oprema i namještaj</w:t>
            </w:r>
          </w:p>
        </w:tc>
        <w:tc>
          <w:tcPr>
            <w:tcW w:w="700" w:type="dxa"/>
            <w:tcMar>
              <w:top w:w="0" w:type="dxa"/>
              <w:bottom w:w="0" w:type="dxa"/>
            </w:tcMar>
            <w:vAlign w:val="center"/>
          </w:tcPr>
          <w:p w:rsidR="00EB6F6A" w:rsidRDefault="00286458">
            <w:pPr>
              <w:keepNext/>
              <w:keepLines/>
              <w:spacing w:after="0" w:line="240" w:lineRule="auto"/>
            </w:pPr>
            <w:r>
              <w:rPr>
                <w:sz w:val="18"/>
              </w:rPr>
              <w:t>4221</w:t>
            </w:r>
          </w:p>
        </w:tc>
        <w:tc>
          <w:tcPr>
            <w:tcW w:w="1860" w:type="dxa"/>
            <w:tcMar>
              <w:top w:w="0" w:type="dxa"/>
              <w:bottom w:w="0" w:type="dxa"/>
            </w:tcMar>
            <w:vAlign w:val="center"/>
          </w:tcPr>
          <w:p w:rsidR="00EB6F6A" w:rsidRDefault="00286458">
            <w:pPr>
              <w:keepNext/>
              <w:keepLines/>
              <w:spacing w:after="0" w:line="240" w:lineRule="auto"/>
              <w:jc w:val="right"/>
            </w:pPr>
            <w:r>
              <w:rPr>
                <w:sz w:val="18"/>
              </w:rPr>
              <w:t>1.779.928,33</w:t>
            </w:r>
          </w:p>
        </w:tc>
        <w:tc>
          <w:tcPr>
            <w:tcW w:w="1860" w:type="dxa"/>
            <w:tcMar>
              <w:top w:w="0" w:type="dxa"/>
              <w:bottom w:w="0" w:type="dxa"/>
            </w:tcMar>
            <w:vAlign w:val="center"/>
          </w:tcPr>
          <w:p w:rsidR="00EB6F6A" w:rsidRDefault="00286458">
            <w:pPr>
              <w:keepNext/>
              <w:keepLines/>
              <w:spacing w:after="0" w:line="240" w:lineRule="auto"/>
              <w:jc w:val="right"/>
            </w:pPr>
            <w:r>
              <w:rPr>
                <w:sz w:val="18"/>
              </w:rPr>
              <w:t>2.057.184,95</w:t>
            </w:r>
          </w:p>
        </w:tc>
        <w:tc>
          <w:tcPr>
            <w:tcW w:w="700" w:type="dxa"/>
            <w:tcMar>
              <w:top w:w="0" w:type="dxa"/>
              <w:bottom w:w="0" w:type="dxa"/>
            </w:tcMar>
            <w:vAlign w:val="center"/>
          </w:tcPr>
          <w:p w:rsidR="00EB6F6A" w:rsidRDefault="00286458">
            <w:pPr>
              <w:keepNext/>
              <w:keepLines/>
              <w:spacing w:after="0" w:line="240" w:lineRule="auto"/>
              <w:jc w:val="right"/>
            </w:pPr>
            <w:r>
              <w:rPr>
                <w:sz w:val="18"/>
              </w:rPr>
              <w:t>115,6</w:t>
            </w:r>
          </w:p>
        </w:tc>
      </w:tr>
    </w:tbl>
    <w:p w:rsidR="00EB6F6A" w:rsidRDefault="00EB6F6A">
      <w:pPr>
        <w:spacing w:after="0"/>
      </w:pPr>
    </w:p>
    <w:p w:rsidR="00EB6F6A" w:rsidRDefault="00286458">
      <w:pPr>
        <w:jc w:val="both"/>
      </w:pPr>
      <w:r>
        <w:t>Najznačajnija ulaganja u uredsku opremu i namještaj odnose se na nabavu namještaja za potrebe Klinike za ženske bolesti i porode (659.064 EUR), nabavu preklopnika i bežične pristupne točke (287.009 EUR), mrežne oprema za opremanje prostora u projektu cjelo</w:t>
      </w:r>
      <w:r>
        <w:t>vite obnove od potresa (210.169 EUR) te računala i monitora (298.900 EUR).</w:t>
      </w:r>
    </w:p>
    <w:p w:rsidR="00EB6F6A" w:rsidRDefault="00EB6F6A"/>
    <w:p w:rsidR="00EB6F6A" w:rsidRDefault="00286458">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4224</w:t>
            </w:r>
          </w:p>
        </w:tc>
        <w:tc>
          <w:tcPr>
            <w:tcW w:w="3180" w:type="dxa"/>
            <w:tcMar>
              <w:top w:w="0" w:type="dxa"/>
              <w:bottom w:w="0" w:type="dxa"/>
            </w:tcMar>
            <w:vAlign w:val="center"/>
          </w:tcPr>
          <w:p w:rsidR="00EB6F6A" w:rsidRDefault="00286458">
            <w:pPr>
              <w:keepNext/>
              <w:keepLines/>
              <w:spacing w:after="0" w:line="240" w:lineRule="auto"/>
            </w:pPr>
            <w:r>
              <w:rPr>
                <w:sz w:val="18"/>
              </w:rPr>
              <w:t xml:space="preserve">Medicinska </w:t>
            </w:r>
            <w:r>
              <w:rPr>
                <w:sz w:val="18"/>
              </w:rPr>
              <w:t>i laboratorijska oprema</w:t>
            </w:r>
          </w:p>
        </w:tc>
        <w:tc>
          <w:tcPr>
            <w:tcW w:w="700" w:type="dxa"/>
            <w:tcMar>
              <w:top w:w="0" w:type="dxa"/>
              <w:bottom w:w="0" w:type="dxa"/>
            </w:tcMar>
            <w:vAlign w:val="center"/>
          </w:tcPr>
          <w:p w:rsidR="00EB6F6A" w:rsidRDefault="00286458">
            <w:pPr>
              <w:keepNext/>
              <w:keepLines/>
              <w:spacing w:after="0" w:line="240" w:lineRule="auto"/>
            </w:pPr>
            <w:r>
              <w:rPr>
                <w:sz w:val="18"/>
              </w:rPr>
              <w:t>4224</w:t>
            </w:r>
          </w:p>
        </w:tc>
        <w:tc>
          <w:tcPr>
            <w:tcW w:w="1860" w:type="dxa"/>
            <w:tcMar>
              <w:top w:w="0" w:type="dxa"/>
              <w:bottom w:w="0" w:type="dxa"/>
            </w:tcMar>
            <w:vAlign w:val="center"/>
          </w:tcPr>
          <w:p w:rsidR="00EB6F6A" w:rsidRDefault="00286458">
            <w:pPr>
              <w:keepNext/>
              <w:keepLines/>
              <w:spacing w:after="0" w:line="240" w:lineRule="auto"/>
              <w:jc w:val="right"/>
            </w:pPr>
            <w:r>
              <w:rPr>
                <w:sz w:val="18"/>
              </w:rPr>
              <w:t>13.878.078,01</w:t>
            </w:r>
          </w:p>
        </w:tc>
        <w:tc>
          <w:tcPr>
            <w:tcW w:w="1860" w:type="dxa"/>
            <w:tcMar>
              <w:top w:w="0" w:type="dxa"/>
              <w:bottom w:w="0" w:type="dxa"/>
            </w:tcMar>
            <w:vAlign w:val="center"/>
          </w:tcPr>
          <w:p w:rsidR="00EB6F6A" w:rsidRDefault="00286458">
            <w:pPr>
              <w:keepNext/>
              <w:keepLines/>
              <w:spacing w:after="0" w:line="240" w:lineRule="auto"/>
              <w:jc w:val="right"/>
            </w:pPr>
            <w:r>
              <w:rPr>
                <w:sz w:val="18"/>
              </w:rPr>
              <w:t>9.682.009,15</w:t>
            </w:r>
          </w:p>
        </w:tc>
        <w:tc>
          <w:tcPr>
            <w:tcW w:w="700" w:type="dxa"/>
            <w:tcMar>
              <w:top w:w="0" w:type="dxa"/>
              <w:bottom w:w="0" w:type="dxa"/>
            </w:tcMar>
            <w:vAlign w:val="center"/>
          </w:tcPr>
          <w:p w:rsidR="00EB6F6A" w:rsidRDefault="00286458">
            <w:pPr>
              <w:keepNext/>
              <w:keepLines/>
              <w:spacing w:after="0" w:line="240" w:lineRule="auto"/>
              <w:jc w:val="right"/>
            </w:pPr>
            <w:r>
              <w:rPr>
                <w:sz w:val="18"/>
              </w:rPr>
              <w:t>69,8</w:t>
            </w:r>
          </w:p>
        </w:tc>
      </w:tr>
    </w:tbl>
    <w:p w:rsidR="00EB6F6A" w:rsidRDefault="00EB6F6A">
      <w:pPr>
        <w:spacing w:after="0"/>
      </w:pPr>
    </w:p>
    <w:p w:rsidR="00EB6F6A" w:rsidRDefault="00286458">
      <w:pPr>
        <w:jc w:val="both"/>
      </w:pPr>
      <w:r>
        <w:t xml:space="preserve">U izvještajnom razdoblju nabavljeno je manje medicinske i laboratorijske opreme u odnosu na isto razdoblje prethodne godine. Značajnija ulaganja u medicinsku i laboratorijsku opremu odnose se na nabavu angiografskog uređaja za potrebe </w:t>
      </w:r>
      <w:proofErr w:type="spellStart"/>
      <w:r>
        <w:t>neuroradiologije</w:t>
      </w:r>
      <w:proofErr w:type="spellEnd"/>
      <w:r>
        <w:t xml:space="preserve"> (1.1</w:t>
      </w:r>
      <w:r>
        <w:t xml:space="preserve">47.475 EUR), integrirane operacijske sale za potrebe Klinike za kirurgiju (1.120.000 EUR), UZV uređaja sa video endoskopskim sustavom za potrebe gastroenterologije (579.625 EUR), UZV uređaja za </w:t>
      </w:r>
      <w:proofErr w:type="spellStart"/>
      <w:r>
        <w:t>opstetriciju</w:t>
      </w:r>
      <w:proofErr w:type="spellEnd"/>
      <w:r>
        <w:t xml:space="preserve"> i ginekologiju za potrebe Klinike za ženske boles</w:t>
      </w:r>
      <w:r>
        <w:t xml:space="preserve">ti i porode (108.313 EUR), uređaja za izvantjelesni krvotok (423.750 EUR), uređaja za mamografiju i </w:t>
      </w:r>
      <w:proofErr w:type="spellStart"/>
      <w:r>
        <w:t>tomosintezu</w:t>
      </w:r>
      <w:proofErr w:type="spellEnd"/>
      <w:r>
        <w:t xml:space="preserve"> (336.000 EUR), uređaja za procesiranje tkiva za potrebe Kliničkog zavoda za patologiju i citologiju (69.225 EUR) te automatiziranog uređaja za s</w:t>
      </w:r>
      <w:r>
        <w:t>terilno prebacivanje stanica za Klinički zavod za transfuzijsku medicinu i transplantacijsku biologiju (139.750 EUR).</w:t>
      </w:r>
    </w:p>
    <w:p w:rsidR="00EB6F6A" w:rsidRDefault="00EB6F6A"/>
    <w:p w:rsidR="00EB6F6A" w:rsidRDefault="00286458">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w:t>
            </w:r>
            <w:r>
              <w:rPr>
                <w:b/>
                <w:sz w:val="18"/>
              </w:rPr>
              <w:t xml:space="preserve">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426</w:t>
            </w:r>
          </w:p>
        </w:tc>
        <w:tc>
          <w:tcPr>
            <w:tcW w:w="3180" w:type="dxa"/>
            <w:tcMar>
              <w:top w:w="0" w:type="dxa"/>
              <w:bottom w:w="0" w:type="dxa"/>
            </w:tcMar>
            <w:vAlign w:val="center"/>
          </w:tcPr>
          <w:p w:rsidR="00EB6F6A" w:rsidRDefault="00286458">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EB6F6A" w:rsidRDefault="00286458">
            <w:pPr>
              <w:keepNext/>
              <w:keepLines/>
              <w:spacing w:after="0" w:line="240" w:lineRule="auto"/>
            </w:pPr>
            <w:r>
              <w:rPr>
                <w:sz w:val="18"/>
              </w:rPr>
              <w:t>426</w:t>
            </w:r>
          </w:p>
        </w:tc>
        <w:tc>
          <w:tcPr>
            <w:tcW w:w="1860" w:type="dxa"/>
            <w:tcMar>
              <w:top w:w="0" w:type="dxa"/>
              <w:bottom w:w="0" w:type="dxa"/>
            </w:tcMar>
            <w:vAlign w:val="center"/>
          </w:tcPr>
          <w:p w:rsidR="00EB6F6A" w:rsidRDefault="00286458">
            <w:pPr>
              <w:keepNext/>
              <w:keepLines/>
              <w:spacing w:after="0" w:line="240" w:lineRule="auto"/>
              <w:jc w:val="right"/>
            </w:pPr>
            <w:r>
              <w:rPr>
                <w:sz w:val="18"/>
              </w:rPr>
              <w:t>564.707,07</w:t>
            </w:r>
          </w:p>
        </w:tc>
        <w:tc>
          <w:tcPr>
            <w:tcW w:w="1860" w:type="dxa"/>
            <w:tcMar>
              <w:top w:w="0" w:type="dxa"/>
              <w:bottom w:w="0" w:type="dxa"/>
            </w:tcMar>
            <w:vAlign w:val="center"/>
          </w:tcPr>
          <w:p w:rsidR="00EB6F6A" w:rsidRDefault="00286458">
            <w:pPr>
              <w:keepNext/>
              <w:keepLines/>
              <w:spacing w:after="0" w:line="240" w:lineRule="auto"/>
              <w:jc w:val="right"/>
            </w:pPr>
            <w:r>
              <w:rPr>
                <w:sz w:val="18"/>
              </w:rPr>
              <w:t>259.124,13</w:t>
            </w:r>
          </w:p>
        </w:tc>
        <w:tc>
          <w:tcPr>
            <w:tcW w:w="700" w:type="dxa"/>
            <w:tcMar>
              <w:top w:w="0" w:type="dxa"/>
              <w:bottom w:w="0" w:type="dxa"/>
            </w:tcMar>
            <w:vAlign w:val="center"/>
          </w:tcPr>
          <w:p w:rsidR="00EB6F6A" w:rsidRDefault="00286458">
            <w:pPr>
              <w:keepNext/>
              <w:keepLines/>
              <w:spacing w:after="0" w:line="240" w:lineRule="auto"/>
              <w:jc w:val="right"/>
            </w:pPr>
            <w:r>
              <w:rPr>
                <w:sz w:val="18"/>
              </w:rPr>
              <w:t>45,9</w:t>
            </w:r>
          </w:p>
        </w:tc>
      </w:tr>
    </w:tbl>
    <w:p w:rsidR="00EB6F6A" w:rsidRDefault="00EB6F6A">
      <w:pPr>
        <w:spacing w:after="0"/>
      </w:pPr>
    </w:p>
    <w:p w:rsidR="00EB6F6A" w:rsidRDefault="00286458">
      <w:pPr>
        <w:jc w:val="both"/>
      </w:pPr>
      <w:r>
        <w:t xml:space="preserve">U izvještajnom razdoblju ostvareno je manje ulaganja u nematerijalnu proizvedenu imovinu u odnosu na isto razdoblje prethodne godine. Značajnija ulaganja odnose se na </w:t>
      </w:r>
      <w:proofErr w:type="spellStart"/>
      <w:r>
        <w:t>reimplementaciju</w:t>
      </w:r>
      <w:proofErr w:type="spellEnd"/>
      <w:r>
        <w:t xml:space="preserve"> bolničkog informacijskog sustava - Faza 1 (104.167 EUR), nabavu sustava </w:t>
      </w:r>
      <w:r>
        <w:t xml:space="preserve">za upravljanje dokumentacijom sustava kvalitete (31.125 EUR) te nadogradnju bolničkog informacijskog sustava za slanje narudžbi iz sustava RIS-a u BIS prema sustavu </w:t>
      </w:r>
      <w:proofErr w:type="spellStart"/>
      <w:r>
        <w:t>patohistologije</w:t>
      </w:r>
      <w:proofErr w:type="spellEnd"/>
      <w:r>
        <w:t xml:space="preserve"> (20.300 EUR).</w:t>
      </w:r>
    </w:p>
    <w:p w:rsidR="00EB6F6A" w:rsidRDefault="00EB6F6A"/>
    <w:p w:rsidR="00EB6F6A" w:rsidRDefault="00286458">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451</w:t>
            </w:r>
          </w:p>
        </w:tc>
        <w:tc>
          <w:tcPr>
            <w:tcW w:w="3180" w:type="dxa"/>
            <w:tcMar>
              <w:top w:w="0" w:type="dxa"/>
              <w:bottom w:w="0" w:type="dxa"/>
            </w:tcMar>
            <w:vAlign w:val="center"/>
          </w:tcPr>
          <w:p w:rsidR="00EB6F6A" w:rsidRDefault="00286458">
            <w:pPr>
              <w:keepNext/>
              <w:keepLines/>
              <w:spacing w:after="0" w:line="240" w:lineRule="auto"/>
            </w:pPr>
            <w:r>
              <w:rPr>
                <w:sz w:val="18"/>
              </w:rPr>
              <w:t>Dodatna ulaganja na građevinskim objektima</w:t>
            </w:r>
          </w:p>
        </w:tc>
        <w:tc>
          <w:tcPr>
            <w:tcW w:w="700" w:type="dxa"/>
            <w:tcMar>
              <w:top w:w="0" w:type="dxa"/>
              <w:bottom w:w="0" w:type="dxa"/>
            </w:tcMar>
            <w:vAlign w:val="center"/>
          </w:tcPr>
          <w:p w:rsidR="00EB6F6A" w:rsidRDefault="00286458">
            <w:pPr>
              <w:keepNext/>
              <w:keepLines/>
              <w:spacing w:after="0" w:line="240" w:lineRule="auto"/>
            </w:pPr>
            <w:r>
              <w:rPr>
                <w:sz w:val="18"/>
              </w:rPr>
              <w:t>451</w:t>
            </w:r>
          </w:p>
        </w:tc>
        <w:tc>
          <w:tcPr>
            <w:tcW w:w="1860" w:type="dxa"/>
            <w:tcMar>
              <w:top w:w="0" w:type="dxa"/>
              <w:bottom w:w="0" w:type="dxa"/>
            </w:tcMar>
            <w:vAlign w:val="center"/>
          </w:tcPr>
          <w:p w:rsidR="00EB6F6A" w:rsidRDefault="00286458">
            <w:pPr>
              <w:keepNext/>
              <w:keepLines/>
              <w:spacing w:after="0" w:line="240" w:lineRule="auto"/>
              <w:jc w:val="right"/>
            </w:pPr>
            <w:r>
              <w:rPr>
                <w:sz w:val="18"/>
              </w:rPr>
              <w:t>59.012.219,37</w:t>
            </w:r>
          </w:p>
        </w:tc>
        <w:tc>
          <w:tcPr>
            <w:tcW w:w="1860" w:type="dxa"/>
            <w:tcMar>
              <w:top w:w="0" w:type="dxa"/>
              <w:bottom w:w="0" w:type="dxa"/>
            </w:tcMar>
            <w:vAlign w:val="center"/>
          </w:tcPr>
          <w:p w:rsidR="00EB6F6A" w:rsidRDefault="00286458">
            <w:pPr>
              <w:keepNext/>
              <w:keepLines/>
              <w:spacing w:after="0" w:line="240" w:lineRule="auto"/>
              <w:jc w:val="right"/>
            </w:pPr>
            <w:r>
              <w:rPr>
                <w:sz w:val="18"/>
              </w:rPr>
              <w:t>53.155.971,20</w:t>
            </w:r>
          </w:p>
        </w:tc>
        <w:tc>
          <w:tcPr>
            <w:tcW w:w="700" w:type="dxa"/>
            <w:tcMar>
              <w:top w:w="0" w:type="dxa"/>
              <w:bottom w:w="0" w:type="dxa"/>
            </w:tcMar>
            <w:vAlign w:val="center"/>
          </w:tcPr>
          <w:p w:rsidR="00EB6F6A" w:rsidRDefault="00286458">
            <w:pPr>
              <w:keepNext/>
              <w:keepLines/>
              <w:spacing w:after="0" w:line="240" w:lineRule="auto"/>
              <w:jc w:val="right"/>
            </w:pPr>
            <w:r>
              <w:rPr>
                <w:sz w:val="18"/>
              </w:rPr>
              <w:t>90,1</w:t>
            </w:r>
          </w:p>
        </w:tc>
      </w:tr>
    </w:tbl>
    <w:p w:rsidR="00EB6F6A" w:rsidRDefault="00EB6F6A">
      <w:pPr>
        <w:spacing w:after="0"/>
      </w:pPr>
    </w:p>
    <w:p w:rsidR="00EB6F6A" w:rsidRDefault="00286458">
      <w:pPr>
        <w:jc w:val="both"/>
      </w:pPr>
      <w:r>
        <w:t xml:space="preserve">U izvještajnom razdoblju ostvareno je manje rashoda za dodatna ulaganja na građevinskim objektima u odnosu na isto razdoblje prethodne godine. Najznačajnija dodatna ulaganja na građevinskim objektima odnose se na radove na obnovi šteta od potresa u okviru </w:t>
      </w:r>
      <w:r>
        <w:t xml:space="preserve">Projekta obnove od potresa bolnice Petrove 13 (433.093 EUR), Projekt obnove od potresa Klinike za plućne bolesti KBC-a Zagreb na lokaciji </w:t>
      </w:r>
      <w:proofErr w:type="spellStart"/>
      <w:r>
        <w:t>Jordanovac</w:t>
      </w:r>
      <w:proofErr w:type="spellEnd"/>
      <w:r>
        <w:t xml:space="preserve"> (16.841.244 EUR) i Projekt cjelovite obnove od potresa Glavne zgrade KBC-a Zagreb na lokaciji </w:t>
      </w:r>
      <w:proofErr w:type="spellStart"/>
      <w:r>
        <w:t>Kišpatićeva</w:t>
      </w:r>
      <w:proofErr w:type="spellEnd"/>
      <w:r>
        <w:t xml:space="preserve"> 1</w:t>
      </w:r>
      <w:r>
        <w:t xml:space="preserve">2 (34.383.223 EUR). Značajnija ulaganja odnose se i na rekonstrukciju i adaptaciju prostora za smještaj linearnog akceleratora na lokaciji Rebro, Petrova i </w:t>
      </w:r>
      <w:proofErr w:type="spellStart"/>
      <w:r>
        <w:t>Jordanovac</w:t>
      </w:r>
      <w:proofErr w:type="spellEnd"/>
      <w:r>
        <w:t xml:space="preserve"> (733.137 EUR).</w:t>
      </w:r>
    </w:p>
    <w:p w:rsidR="00EB6F6A" w:rsidRDefault="00EB6F6A"/>
    <w:p w:rsidR="00EB6F6A" w:rsidRDefault="00286458">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w:t>
            </w:r>
            <w:r>
              <w:rPr>
                <w:b/>
                <w:sz w:val="18"/>
              </w:rPr>
              <w:t>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8</w:t>
            </w:r>
          </w:p>
        </w:tc>
        <w:tc>
          <w:tcPr>
            <w:tcW w:w="3180" w:type="dxa"/>
            <w:tcMar>
              <w:top w:w="0" w:type="dxa"/>
              <w:bottom w:w="0" w:type="dxa"/>
            </w:tcMar>
            <w:vAlign w:val="center"/>
          </w:tcPr>
          <w:p w:rsidR="00EB6F6A" w:rsidRDefault="0028645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EB6F6A" w:rsidRDefault="00286458">
            <w:pPr>
              <w:keepNext/>
              <w:keepLines/>
              <w:spacing w:after="0" w:line="240" w:lineRule="auto"/>
            </w:pPr>
            <w:r>
              <w:rPr>
                <w:sz w:val="18"/>
              </w:rPr>
              <w:t>8</w:t>
            </w:r>
          </w:p>
        </w:tc>
        <w:tc>
          <w:tcPr>
            <w:tcW w:w="1860" w:type="dxa"/>
            <w:tcMar>
              <w:top w:w="0" w:type="dxa"/>
              <w:bottom w:w="0" w:type="dxa"/>
            </w:tcMar>
            <w:vAlign w:val="center"/>
          </w:tcPr>
          <w:p w:rsidR="00EB6F6A" w:rsidRDefault="00286458">
            <w:pPr>
              <w:keepNext/>
              <w:keepLines/>
              <w:spacing w:after="0" w:line="240" w:lineRule="auto"/>
              <w:jc w:val="right"/>
            </w:pPr>
            <w:r>
              <w:rPr>
                <w:sz w:val="18"/>
              </w:rPr>
              <w:t>3.986.916,83</w:t>
            </w:r>
          </w:p>
        </w:tc>
        <w:tc>
          <w:tcPr>
            <w:tcW w:w="1860" w:type="dxa"/>
            <w:tcMar>
              <w:top w:w="0" w:type="dxa"/>
              <w:bottom w:w="0" w:type="dxa"/>
            </w:tcMar>
            <w:vAlign w:val="center"/>
          </w:tcPr>
          <w:p w:rsidR="00EB6F6A" w:rsidRDefault="00286458">
            <w:pPr>
              <w:keepNext/>
              <w:keepLines/>
              <w:spacing w:after="0" w:line="240" w:lineRule="auto"/>
              <w:jc w:val="right"/>
            </w:pPr>
            <w:r>
              <w:rPr>
                <w:sz w:val="18"/>
              </w:rPr>
              <w:t>16.240.397,71</w:t>
            </w:r>
          </w:p>
        </w:tc>
        <w:tc>
          <w:tcPr>
            <w:tcW w:w="700" w:type="dxa"/>
            <w:tcMar>
              <w:top w:w="0" w:type="dxa"/>
              <w:bottom w:w="0" w:type="dxa"/>
            </w:tcMar>
            <w:vAlign w:val="center"/>
          </w:tcPr>
          <w:p w:rsidR="00EB6F6A" w:rsidRDefault="00286458">
            <w:pPr>
              <w:keepNext/>
              <w:keepLines/>
              <w:spacing w:after="0" w:line="240" w:lineRule="auto"/>
              <w:jc w:val="right"/>
            </w:pPr>
            <w:r>
              <w:rPr>
                <w:sz w:val="18"/>
              </w:rPr>
              <w:t>407,3</w:t>
            </w:r>
          </w:p>
        </w:tc>
      </w:tr>
    </w:tbl>
    <w:p w:rsidR="00EB6F6A" w:rsidRDefault="00EB6F6A">
      <w:pPr>
        <w:spacing w:after="0"/>
      </w:pPr>
    </w:p>
    <w:p w:rsidR="00EB6F6A" w:rsidRDefault="00286458">
      <w:pPr>
        <w:jc w:val="both"/>
      </w:pPr>
      <w:r>
        <w:t>Primici od financijske imovine i zaduživanja (Šifra 8) u razdoblju od 1. siječnja do 31. prosinca 2025. godine iznose 12.240.398 EUR. Višestruko povećanje primitaka od financijske imovine i zaduživanja u razdoblju od 1. siječnja do 31. prosinca 2025. godin</w:t>
      </w:r>
      <w:r>
        <w:t xml:space="preserve">e u odnosu na isto razdoblje prethodne godine rezultat je primljenih zajmova od tuzemnih trgovačkih društava izvan javnog sektora - za nabavu posebno skupog lijeka </w:t>
      </w:r>
      <w:proofErr w:type="spellStart"/>
      <w:r>
        <w:t>Zolgensma</w:t>
      </w:r>
      <w:proofErr w:type="spellEnd"/>
      <w:r>
        <w:t xml:space="preserve"> putem robnog zajma (2.908.558 EUR) te za sklopljene sudske i </w:t>
      </w:r>
      <w:proofErr w:type="spellStart"/>
      <w:r>
        <w:t>izvansudske</w:t>
      </w:r>
      <w:proofErr w:type="spellEnd"/>
      <w:r>
        <w:t xml:space="preserve"> nagodbe s</w:t>
      </w:r>
      <w:r>
        <w:t xml:space="preserve"> dobavljačima lijekova i medicinskog potrošnog materijala za podmirivanje zakonskih zateznih kamata na zakašnjelo plaćanje koje će se otplaćivati u ratama (8.677.171 EUR).</w:t>
      </w:r>
    </w:p>
    <w:p w:rsidR="00EB6F6A" w:rsidRDefault="00286458">
      <w:pPr>
        <w:jc w:val="both"/>
      </w:pPr>
      <w:r>
        <w:t>Najznačajnije nabave izvršene putem robnog zajma odnose se na nabavu CT uređaja SOMA</w:t>
      </w:r>
      <w:r>
        <w:t xml:space="preserve">TOM </w:t>
      </w:r>
      <w:proofErr w:type="spellStart"/>
      <w:r>
        <w:t>Drive</w:t>
      </w:r>
      <w:proofErr w:type="spellEnd"/>
      <w:r>
        <w:t xml:space="preserve"> za potrebe Odjela za </w:t>
      </w:r>
      <w:proofErr w:type="spellStart"/>
      <w:r>
        <w:t>kardiotorakalnu</w:t>
      </w:r>
      <w:proofErr w:type="spellEnd"/>
      <w:r>
        <w:t xml:space="preserve"> radiologiju Kliničkog zavoda za dijagnostičku i intervencijsku radiologiju (1.533.250 EUR), integrirane operacijske sale za potrebe Klinike za kirurgiju (1.120.000 EUR) te UZV uređaja s </w:t>
      </w:r>
      <w:proofErr w:type="spellStart"/>
      <w:r>
        <w:t>videoendoskopskim</w:t>
      </w:r>
      <w:proofErr w:type="spellEnd"/>
      <w:r>
        <w:t xml:space="preserve"> susta</w:t>
      </w:r>
      <w:r>
        <w:t xml:space="preserve">vom za potrebe Zavoda za gastroenterologiju i </w:t>
      </w:r>
      <w:proofErr w:type="spellStart"/>
      <w:r>
        <w:t>hepatologiju</w:t>
      </w:r>
      <w:proofErr w:type="spellEnd"/>
      <w:r>
        <w:t xml:space="preserve"> (579.625 EUR).</w:t>
      </w:r>
    </w:p>
    <w:p w:rsidR="00EB6F6A" w:rsidRDefault="00EB6F6A"/>
    <w:p w:rsidR="00EB6F6A" w:rsidRDefault="00286458">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5</w:t>
            </w:r>
          </w:p>
        </w:tc>
        <w:tc>
          <w:tcPr>
            <w:tcW w:w="3180" w:type="dxa"/>
            <w:tcMar>
              <w:top w:w="0" w:type="dxa"/>
              <w:bottom w:w="0" w:type="dxa"/>
            </w:tcMar>
            <w:vAlign w:val="center"/>
          </w:tcPr>
          <w:p w:rsidR="00EB6F6A" w:rsidRDefault="00286458">
            <w:pPr>
              <w:keepNext/>
              <w:keepLines/>
              <w:spacing w:after="0" w:line="240" w:lineRule="auto"/>
            </w:pPr>
            <w:r>
              <w:rPr>
                <w:sz w:val="18"/>
              </w:rPr>
              <w:t xml:space="preserve">Izdaci za </w:t>
            </w:r>
            <w:r>
              <w:rPr>
                <w:sz w:val="18"/>
              </w:rPr>
              <w:t>financijsku imovinu i otplate zajmova (šifre 51+52+53+54+55)</w:t>
            </w:r>
          </w:p>
        </w:tc>
        <w:tc>
          <w:tcPr>
            <w:tcW w:w="700" w:type="dxa"/>
            <w:tcMar>
              <w:top w:w="0" w:type="dxa"/>
              <w:bottom w:w="0" w:type="dxa"/>
            </w:tcMar>
            <w:vAlign w:val="center"/>
          </w:tcPr>
          <w:p w:rsidR="00EB6F6A" w:rsidRDefault="00286458">
            <w:pPr>
              <w:keepNext/>
              <w:keepLines/>
              <w:spacing w:after="0" w:line="240" w:lineRule="auto"/>
            </w:pPr>
            <w:r>
              <w:rPr>
                <w:sz w:val="18"/>
              </w:rPr>
              <w:t>5</w:t>
            </w:r>
          </w:p>
        </w:tc>
        <w:tc>
          <w:tcPr>
            <w:tcW w:w="1860" w:type="dxa"/>
            <w:tcMar>
              <w:top w:w="0" w:type="dxa"/>
              <w:bottom w:w="0" w:type="dxa"/>
            </w:tcMar>
            <w:vAlign w:val="center"/>
          </w:tcPr>
          <w:p w:rsidR="00EB6F6A" w:rsidRDefault="00286458">
            <w:pPr>
              <w:keepNext/>
              <w:keepLines/>
              <w:spacing w:after="0" w:line="240" w:lineRule="auto"/>
              <w:jc w:val="right"/>
            </w:pPr>
            <w:r>
              <w:rPr>
                <w:sz w:val="18"/>
              </w:rPr>
              <w:t>6.321.019,83</w:t>
            </w:r>
          </w:p>
        </w:tc>
        <w:tc>
          <w:tcPr>
            <w:tcW w:w="1860" w:type="dxa"/>
            <w:tcMar>
              <w:top w:w="0" w:type="dxa"/>
              <w:bottom w:w="0" w:type="dxa"/>
            </w:tcMar>
            <w:vAlign w:val="center"/>
          </w:tcPr>
          <w:p w:rsidR="00EB6F6A" w:rsidRDefault="00286458">
            <w:pPr>
              <w:keepNext/>
              <w:keepLines/>
              <w:spacing w:after="0" w:line="240" w:lineRule="auto"/>
              <w:jc w:val="right"/>
            </w:pPr>
            <w:r>
              <w:rPr>
                <w:sz w:val="18"/>
              </w:rPr>
              <w:t>14.474.755,06</w:t>
            </w:r>
          </w:p>
        </w:tc>
        <w:tc>
          <w:tcPr>
            <w:tcW w:w="700" w:type="dxa"/>
            <w:tcMar>
              <w:top w:w="0" w:type="dxa"/>
              <w:bottom w:w="0" w:type="dxa"/>
            </w:tcMar>
            <w:vAlign w:val="center"/>
          </w:tcPr>
          <w:p w:rsidR="00EB6F6A" w:rsidRDefault="00286458">
            <w:pPr>
              <w:keepNext/>
              <w:keepLines/>
              <w:spacing w:after="0" w:line="240" w:lineRule="auto"/>
              <w:jc w:val="right"/>
            </w:pPr>
            <w:r>
              <w:rPr>
                <w:sz w:val="18"/>
              </w:rPr>
              <w:t>229,0</w:t>
            </w:r>
          </w:p>
        </w:tc>
      </w:tr>
    </w:tbl>
    <w:p w:rsidR="00EB6F6A" w:rsidRDefault="00EB6F6A">
      <w:pPr>
        <w:spacing w:after="0"/>
      </w:pPr>
    </w:p>
    <w:p w:rsidR="00EB6F6A" w:rsidRDefault="00286458">
      <w:pPr>
        <w:jc w:val="both"/>
      </w:pPr>
      <w:r>
        <w:lastRenderedPageBreak/>
        <w:t>Izdaci za financijsku imovinu i otplate zajmova (šifra 5) u razdoblju od 1. siječnja do 31. prosinca 2025. godine ostvareni su u iznosu od 14.474.755 EUR što je za 129,0% više u odnosu na isto razdoblje prethodne godine. Povećanje se odnosi na otplate zajm</w:t>
      </w:r>
      <w:r>
        <w:t xml:space="preserve">ova robnih kredita za medicinsku opremu, posebno skupog lijeka </w:t>
      </w:r>
      <w:proofErr w:type="spellStart"/>
      <w:r>
        <w:t>Zolgensma</w:t>
      </w:r>
      <w:proofErr w:type="spellEnd"/>
      <w:r>
        <w:t xml:space="preserve"> te za otplate rata zakonskih zateznih kamata na zakašnjelo plaćanje sukladno sklopljenim sudskim i </w:t>
      </w:r>
      <w:proofErr w:type="spellStart"/>
      <w:r>
        <w:t>izvansudskim</w:t>
      </w:r>
      <w:proofErr w:type="spellEnd"/>
      <w:r>
        <w:t xml:space="preserve"> nagodbama s dobavljačima lijekova i medicinskog potrošnog materijala.</w:t>
      </w:r>
    </w:p>
    <w:p w:rsidR="00EB6F6A" w:rsidRDefault="00EB6F6A"/>
    <w:p w:rsidR="00EB6F6A" w:rsidRDefault="00286458">
      <w:pPr>
        <w:keepNext/>
        <w:spacing w:line="240" w:lineRule="auto"/>
        <w:jc w:val="center"/>
      </w:pPr>
      <w:r>
        <w:rPr>
          <w:b/>
          <w:sz w:val="28"/>
        </w:rPr>
        <w:t>Bilanca</w:t>
      </w:r>
    </w:p>
    <w:p w:rsidR="00EB6F6A" w:rsidRDefault="00286458">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012</w:t>
            </w:r>
          </w:p>
        </w:tc>
        <w:tc>
          <w:tcPr>
            <w:tcW w:w="3180" w:type="dxa"/>
            <w:tcMar>
              <w:top w:w="0" w:type="dxa"/>
              <w:bottom w:w="0" w:type="dxa"/>
            </w:tcMar>
            <w:vAlign w:val="center"/>
          </w:tcPr>
          <w:p w:rsidR="00EB6F6A" w:rsidRDefault="00286458">
            <w:pPr>
              <w:keepNext/>
              <w:keepLines/>
              <w:spacing w:after="0" w:line="240" w:lineRule="auto"/>
            </w:pPr>
            <w:r>
              <w:rPr>
                <w:sz w:val="18"/>
              </w:rPr>
              <w:t>Nematerijalna imovina</w:t>
            </w:r>
          </w:p>
        </w:tc>
        <w:tc>
          <w:tcPr>
            <w:tcW w:w="700" w:type="dxa"/>
            <w:tcMar>
              <w:top w:w="0" w:type="dxa"/>
              <w:bottom w:w="0" w:type="dxa"/>
            </w:tcMar>
            <w:vAlign w:val="center"/>
          </w:tcPr>
          <w:p w:rsidR="00EB6F6A" w:rsidRDefault="00286458">
            <w:pPr>
              <w:keepNext/>
              <w:keepLines/>
              <w:spacing w:after="0" w:line="240" w:lineRule="auto"/>
            </w:pPr>
            <w:r>
              <w:rPr>
                <w:sz w:val="18"/>
              </w:rPr>
              <w:t>012</w:t>
            </w:r>
          </w:p>
        </w:tc>
        <w:tc>
          <w:tcPr>
            <w:tcW w:w="1860" w:type="dxa"/>
            <w:tcMar>
              <w:top w:w="0" w:type="dxa"/>
              <w:bottom w:w="0" w:type="dxa"/>
            </w:tcMar>
            <w:vAlign w:val="center"/>
          </w:tcPr>
          <w:p w:rsidR="00EB6F6A" w:rsidRDefault="00286458">
            <w:pPr>
              <w:keepNext/>
              <w:keepLines/>
              <w:spacing w:after="0" w:line="240" w:lineRule="auto"/>
              <w:jc w:val="right"/>
            </w:pPr>
            <w:r>
              <w:rPr>
                <w:sz w:val="18"/>
              </w:rPr>
              <w:t>1.850.956,58</w:t>
            </w:r>
          </w:p>
        </w:tc>
        <w:tc>
          <w:tcPr>
            <w:tcW w:w="1860" w:type="dxa"/>
            <w:tcMar>
              <w:top w:w="0" w:type="dxa"/>
              <w:bottom w:w="0" w:type="dxa"/>
            </w:tcMar>
            <w:vAlign w:val="center"/>
          </w:tcPr>
          <w:p w:rsidR="00EB6F6A" w:rsidRDefault="00286458">
            <w:pPr>
              <w:keepNext/>
              <w:keepLines/>
              <w:spacing w:after="0" w:line="240" w:lineRule="auto"/>
              <w:jc w:val="right"/>
            </w:pPr>
            <w:r>
              <w:rPr>
                <w:sz w:val="18"/>
              </w:rPr>
              <w:t>2.581.395,72</w:t>
            </w:r>
          </w:p>
        </w:tc>
        <w:tc>
          <w:tcPr>
            <w:tcW w:w="700" w:type="dxa"/>
            <w:tcMar>
              <w:top w:w="0" w:type="dxa"/>
              <w:bottom w:w="0" w:type="dxa"/>
            </w:tcMar>
            <w:vAlign w:val="center"/>
          </w:tcPr>
          <w:p w:rsidR="00EB6F6A" w:rsidRDefault="00286458">
            <w:pPr>
              <w:keepNext/>
              <w:keepLines/>
              <w:spacing w:after="0" w:line="240" w:lineRule="auto"/>
              <w:jc w:val="right"/>
            </w:pPr>
            <w:r>
              <w:rPr>
                <w:sz w:val="18"/>
              </w:rPr>
              <w:t>139,5</w:t>
            </w:r>
          </w:p>
        </w:tc>
      </w:tr>
    </w:tbl>
    <w:p w:rsidR="00EB6F6A" w:rsidRDefault="00EB6F6A">
      <w:pPr>
        <w:spacing w:after="0"/>
      </w:pPr>
    </w:p>
    <w:p w:rsidR="00EB6F6A" w:rsidRDefault="00286458">
      <w:pPr>
        <w:jc w:val="both"/>
      </w:pPr>
      <w:r>
        <w:t>Nematerijalna imovina (Šifra 012)  na dan 31. prosinca 2025. godine iskazana je u iznosu od 2.581.396 EUR što je za 39,5% više u odnosu na isti datum 2025. godine.</w:t>
      </w:r>
    </w:p>
    <w:p w:rsidR="00EB6F6A" w:rsidRDefault="00286458">
      <w:pPr>
        <w:jc w:val="both"/>
      </w:pPr>
      <w:r>
        <w:t xml:space="preserve">Najznačajnija ulaganja u nematerijalnu imovinu odnose se na licence za korištenje Microsoft </w:t>
      </w:r>
      <w:r>
        <w:t>softverskih proizvoda i usluga (576.489 EUR) i nadogradnju licenci aplikativnog sustava za centralnu pripremu citostatika - CATO sustava (76.125 EUR).</w:t>
      </w:r>
    </w:p>
    <w:p w:rsidR="00EB6F6A" w:rsidRDefault="00EB6F6A"/>
    <w:p w:rsidR="00EB6F6A" w:rsidRDefault="00286458">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021 i 02921</w:t>
            </w:r>
          </w:p>
        </w:tc>
        <w:tc>
          <w:tcPr>
            <w:tcW w:w="3180" w:type="dxa"/>
            <w:tcMar>
              <w:top w:w="0" w:type="dxa"/>
              <w:bottom w:w="0" w:type="dxa"/>
            </w:tcMar>
            <w:vAlign w:val="center"/>
          </w:tcPr>
          <w:p w:rsidR="00EB6F6A" w:rsidRDefault="00286458">
            <w:pPr>
              <w:keepNext/>
              <w:keepLines/>
              <w:spacing w:after="0" w:line="240" w:lineRule="auto"/>
            </w:pPr>
            <w:r>
              <w:rPr>
                <w:sz w:val="18"/>
              </w:rPr>
              <w:t>Građevinski objekti (šifre 0211 do 0214 - 02921)</w:t>
            </w:r>
          </w:p>
        </w:tc>
        <w:tc>
          <w:tcPr>
            <w:tcW w:w="700" w:type="dxa"/>
            <w:tcMar>
              <w:top w:w="0" w:type="dxa"/>
              <w:bottom w:w="0" w:type="dxa"/>
            </w:tcMar>
            <w:vAlign w:val="center"/>
          </w:tcPr>
          <w:p w:rsidR="00EB6F6A" w:rsidRDefault="00286458">
            <w:pPr>
              <w:keepNext/>
              <w:keepLines/>
              <w:spacing w:after="0" w:line="240" w:lineRule="auto"/>
            </w:pPr>
            <w:r>
              <w:rPr>
                <w:sz w:val="18"/>
              </w:rPr>
              <w:t>021 i 02921</w:t>
            </w:r>
          </w:p>
        </w:tc>
        <w:tc>
          <w:tcPr>
            <w:tcW w:w="1860" w:type="dxa"/>
            <w:tcMar>
              <w:top w:w="0" w:type="dxa"/>
              <w:bottom w:w="0" w:type="dxa"/>
            </w:tcMar>
            <w:vAlign w:val="center"/>
          </w:tcPr>
          <w:p w:rsidR="00EB6F6A" w:rsidRDefault="00286458">
            <w:pPr>
              <w:keepNext/>
              <w:keepLines/>
              <w:spacing w:after="0" w:line="240" w:lineRule="auto"/>
              <w:jc w:val="right"/>
            </w:pPr>
            <w:r>
              <w:rPr>
                <w:sz w:val="18"/>
              </w:rPr>
              <w:t>126.534.730,51</w:t>
            </w:r>
          </w:p>
        </w:tc>
        <w:tc>
          <w:tcPr>
            <w:tcW w:w="1860" w:type="dxa"/>
            <w:tcMar>
              <w:top w:w="0" w:type="dxa"/>
              <w:bottom w:w="0" w:type="dxa"/>
            </w:tcMar>
            <w:vAlign w:val="center"/>
          </w:tcPr>
          <w:p w:rsidR="00EB6F6A" w:rsidRDefault="00286458">
            <w:pPr>
              <w:keepNext/>
              <w:keepLines/>
              <w:spacing w:after="0" w:line="240" w:lineRule="auto"/>
              <w:jc w:val="right"/>
            </w:pPr>
            <w:r>
              <w:rPr>
                <w:sz w:val="18"/>
              </w:rPr>
              <w:t>162.111.262,39</w:t>
            </w:r>
          </w:p>
        </w:tc>
        <w:tc>
          <w:tcPr>
            <w:tcW w:w="700" w:type="dxa"/>
            <w:tcMar>
              <w:top w:w="0" w:type="dxa"/>
              <w:bottom w:w="0" w:type="dxa"/>
            </w:tcMar>
            <w:vAlign w:val="center"/>
          </w:tcPr>
          <w:p w:rsidR="00EB6F6A" w:rsidRDefault="00286458">
            <w:pPr>
              <w:keepNext/>
              <w:keepLines/>
              <w:spacing w:after="0" w:line="240" w:lineRule="auto"/>
              <w:jc w:val="right"/>
            </w:pPr>
            <w:r>
              <w:rPr>
                <w:sz w:val="18"/>
              </w:rPr>
              <w:t>128,1</w:t>
            </w:r>
          </w:p>
        </w:tc>
      </w:tr>
    </w:tbl>
    <w:p w:rsidR="00EB6F6A" w:rsidRDefault="00EB6F6A">
      <w:pPr>
        <w:spacing w:after="0"/>
      </w:pPr>
    </w:p>
    <w:p w:rsidR="00EB6F6A" w:rsidRDefault="00286458">
      <w:pPr>
        <w:jc w:val="both"/>
      </w:pPr>
      <w:r>
        <w:t>Građevinski objekti (Šifra 021 i 02921)  na dan 31. prosinca 2025. godine iskazani su u iznosu od 162.111.262 EUR što je za 28,1% više u odnosu na isti datum 2024. godine.</w:t>
      </w:r>
    </w:p>
    <w:p w:rsidR="00EB6F6A" w:rsidRDefault="00286458">
      <w:pPr>
        <w:jc w:val="both"/>
      </w:pPr>
      <w:r>
        <w:t>Najznačajnija ulaganja u građevinske objekte odnose se na uknjižbu 9 stanova u vlasn</w:t>
      </w:r>
      <w:r>
        <w:t>ištvu KBC-a Zagreb u knjigovodstvene evidencije (985.629 EUR), izradu i montažu privremenog objekta za smještaj bolničke kuhinje (2.123.763,69 EUR) te završenu zgradu i stavljanje u upotrebu bolnice Petrove 13 (33.019.050 EUR) u okviru radova Projekta obno</w:t>
      </w:r>
      <w:r>
        <w:t>ve od potresa. </w:t>
      </w:r>
    </w:p>
    <w:p w:rsidR="00EB6F6A" w:rsidRDefault="00EB6F6A"/>
    <w:p w:rsidR="00EB6F6A" w:rsidRDefault="00286458">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022 i 02922</w:t>
            </w:r>
          </w:p>
        </w:tc>
        <w:tc>
          <w:tcPr>
            <w:tcW w:w="3180" w:type="dxa"/>
            <w:tcMar>
              <w:top w:w="0" w:type="dxa"/>
              <w:bottom w:w="0" w:type="dxa"/>
            </w:tcMar>
            <w:vAlign w:val="center"/>
          </w:tcPr>
          <w:p w:rsidR="00EB6F6A" w:rsidRDefault="00286458">
            <w:pPr>
              <w:keepNext/>
              <w:keepLines/>
              <w:spacing w:after="0" w:line="240" w:lineRule="auto"/>
            </w:pPr>
            <w:r>
              <w:rPr>
                <w:sz w:val="18"/>
              </w:rPr>
              <w:t>Postrojenja i oprema (šifre 0221 do 0228 - 02922)</w:t>
            </w:r>
          </w:p>
        </w:tc>
        <w:tc>
          <w:tcPr>
            <w:tcW w:w="700" w:type="dxa"/>
            <w:tcMar>
              <w:top w:w="0" w:type="dxa"/>
              <w:bottom w:w="0" w:type="dxa"/>
            </w:tcMar>
            <w:vAlign w:val="center"/>
          </w:tcPr>
          <w:p w:rsidR="00EB6F6A" w:rsidRDefault="00286458">
            <w:pPr>
              <w:keepNext/>
              <w:keepLines/>
              <w:spacing w:after="0" w:line="240" w:lineRule="auto"/>
            </w:pPr>
            <w:r>
              <w:rPr>
                <w:sz w:val="18"/>
              </w:rPr>
              <w:t>022 i 02922</w:t>
            </w:r>
          </w:p>
        </w:tc>
        <w:tc>
          <w:tcPr>
            <w:tcW w:w="1860" w:type="dxa"/>
            <w:tcMar>
              <w:top w:w="0" w:type="dxa"/>
              <w:bottom w:w="0" w:type="dxa"/>
            </w:tcMar>
            <w:vAlign w:val="center"/>
          </w:tcPr>
          <w:p w:rsidR="00EB6F6A" w:rsidRDefault="00286458">
            <w:pPr>
              <w:keepNext/>
              <w:keepLines/>
              <w:spacing w:after="0" w:line="240" w:lineRule="auto"/>
              <w:jc w:val="right"/>
            </w:pPr>
            <w:r>
              <w:rPr>
                <w:sz w:val="18"/>
              </w:rPr>
              <w:t>32.922.655,80</w:t>
            </w:r>
          </w:p>
        </w:tc>
        <w:tc>
          <w:tcPr>
            <w:tcW w:w="1860" w:type="dxa"/>
            <w:tcMar>
              <w:top w:w="0" w:type="dxa"/>
              <w:bottom w:w="0" w:type="dxa"/>
            </w:tcMar>
            <w:vAlign w:val="center"/>
          </w:tcPr>
          <w:p w:rsidR="00EB6F6A" w:rsidRDefault="00286458">
            <w:pPr>
              <w:keepNext/>
              <w:keepLines/>
              <w:spacing w:after="0" w:line="240" w:lineRule="auto"/>
              <w:jc w:val="right"/>
            </w:pPr>
            <w:r>
              <w:rPr>
                <w:sz w:val="18"/>
              </w:rPr>
              <w:t>34.098.152,08</w:t>
            </w:r>
          </w:p>
        </w:tc>
        <w:tc>
          <w:tcPr>
            <w:tcW w:w="700" w:type="dxa"/>
            <w:tcMar>
              <w:top w:w="0" w:type="dxa"/>
              <w:bottom w:w="0" w:type="dxa"/>
            </w:tcMar>
            <w:vAlign w:val="center"/>
          </w:tcPr>
          <w:p w:rsidR="00EB6F6A" w:rsidRDefault="00286458">
            <w:pPr>
              <w:keepNext/>
              <w:keepLines/>
              <w:spacing w:after="0" w:line="240" w:lineRule="auto"/>
              <w:jc w:val="right"/>
            </w:pPr>
            <w:r>
              <w:rPr>
                <w:sz w:val="18"/>
              </w:rPr>
              <w:t>103,6</w:t>
            </w:r>
          </w:p>
        </w:tc>
      </w:tr>
    </w:tbl>
    <w:p w:rsidR="00EB6F6A" w:rsidRDefault="00EB6F6A">
      <w:pPr>
        <w:spacing w:after="0"/>
      </w:pPr>
    </w:p>
    <w:p w:rsidR="00EB6F6A" w:rsidRDefault="00286458">
      <w:r>
        <w:lastRenderedPageBreak/>
        <w:t>Postrojenja i oprema (Šifra 022 i 02922)  na dan 31. prosinca 2025. godine iskazani su u iznosu od 34.098.152 EUR što je za 3,6% više u odnosu na isti datum 2024. godine.</w:t>
      </w:r>
    </w:p>
    <w:p w:rsidR="00EB6F6A" w:rsidRDefault="00286458">
      <w:r>
        <w:t xml:space="preserve">Najznačajnija ulaganja u medicinsku i laboratorijsku opremu odnose se na ulaganja u </w:t>
      </w:r>
      <w:proofErr w:type="spellStart"/>
      <w:r>
        <w:t>B</w:t>
      </w:r>
      <w:r>
        <w:t>iplane</w:t>
      </w:r>
      <w:proofErr w:type="spellEnd"/>
      <w:r>
        <w:t xml:space="preserve"> angiografski uređaj za potrebe intervencijske </w:t>
      </w:r>
      <w:proofErr w:type="spellStart"/>
      <w:r>
        <w:t>neuroradiologije</w:t>
      </w:r>
      <w:proofErr w:type="spellEnd"/>
      <w:r>
        <w:t xml:space="preserve"> (1.147.475 EUR), integriranu operacijska sala za potrebe Klinike za kirurgiju (1.120.000 EUR), CT uređaj za potrebe Odjela za </w:t>
      </w:r>
      <w:proofErr w:type="spellStart"/>
      <w:r>
        <w:t>kardiotorakalnu</w:t>
      </w:r>
      <w:proofErr w:type="spellEnd"/>
      <w:r>
        <w:t xml:space="preserve"> radiologiju Kliničkog zavoda za dijagnostičk</w:t>
      </w:r>
      <w:r>
        <w:t xml:space="preserve">u i intervencijsku radiologiju (1.533.250 EUR), ESWL uređaj za potrebe Klinike za urologiju (995.750 EUR), UZV uređaj sa </w:t>
      </w:r>
      <w:proofErr w:type="spellStart"/>
      <w:r>
        <w:t>videoendoskopskim</w:t>
      </w:r>
      <w:proofErr w:type="spellEnd"/>
      <w:r>
        <w:t xml:space="preserve"> sustavom za potrebe gastroenterologije (579.625 EUR), uređaj za izvantjelesni krvotok (423.750 EUR) te uređaj za mamo</w:t>
      </w:r>
      <w:r>
        <w:t xml:space="preserve">grafiju i </w:t>
      </w:r>
      <w:proofErr w:type="spellStart"/>
      <w:r>
        <w:t>tomosintezu</w:t>
      </w:r>
      <w:proofErr w:type="spellEnd"/>
      <w:r>
        <w:t xml:space="preserve"> (336.000 EUR).</w:t>
      </w:r>
    </w:p>
    <w:p w:rsidR="00EB6F6A" w:rsidRDefault="00286458">
      <w:r>
        <w:t xml:space="preserve">Najznačajnija ulaganja u opremu za održavanje i zaštitu odnosi se na nabavu i ugradnju sustava hlađenja u prostoru za smještaj CT uređaja (12.500 EUR) te optimizaciju i nadogradnju sustava vatrodojave na lokaciji Rebro </w:t>
      </w:r>
      <w:r>
        <w:t>(94.404 EUR). </w:t>
      </w:r>
    </w:p>
    <w:p w:rsidR="00EB6F6A" w:rsidRDefault="00286458">
      <w:r>
        <w:t>Najznačajnija ulaganja u uredsku opremu i namještaj odnose se na nabavu namještaja za potrebe Klinike za ženske bolesti i porode (659.064 EUR) te mrežnu opremu za opremanje prostora u projektu cjelovite obnove od potresa (504.424 EUR).</w:t>
      </w:r>
    </w:p>
    <w:p w:rsidR="00EB6F6A" w:rsidRDefault="00EB6F6A"/>
    <w:p w:rsidR="00EB6F6A" w:rsidRDefault="00286458">
      <w:pPr>
        <w:keepNext/>
        <w:spacing w:line="240" w:lineRule="auto"/>
        <w:jc w:val="center"/>
      </w:pPr>
      <w:r>
        <w:rPr>
          <w:sz w:val="28"/>
        </w:rPr>
        <w:t>Bilj</w:t>
      </w:r>
      <w:r>
        <w:rPr>
          <w:sz w:val="28"/>
        </w:rPr>
        <w:t>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051</w:t>
            </w:r>
          </w:p>
        </w:tc>
        <w:tc>
          <w:tcPr>
            <w:tcW w:w="3180" w:type="dxa"/>
            <w:tcMar>
              <w:top w:w="0" w:type="dxa"/>
              <w:bottom w:w="0" w:type="dxa"/>
            </w:tcMar>
            <w:vAlign w:val="center"/>
          </w:tcPr>
          <w:p w:rsidR="00EB6F6A" w:rsidRDefault="00286458">
            <w:pPr>
              <w:keepNext/>
              <w:keepLines/>
              <w:spacing w:after="0" w:line="240" w:lineRule="auto"/>
            </w:pPr>
            <w:r>
              <w:rPr>
                <w:sz w:val="18"/>
              </w:rPr>
              <w:t>Građevinski objekti u pripremi</w:t>
            </w:r>
          </w:p>
        </w:tc>
        <w:tc>
          <w:tcPr>
            <w:tcW w:w="700" w:type="dxa"/>
            <w:tcMar>
              <w:top w:w="0" w:type="dxa"/>
              <w:bottom w:w="0" w:type="dxa"/>
            </w:tcMar>
            <w:vAlign w:val="center"/>
          </w:tcPr>
          <w:p w:rsidR="00EB6F6A" w:rsidRDefault="00286458">
            <w:pPr>
              <w:keepNext/>
              <w:keepLines/>
              <w:spacing w:after="0" w:line="240" w:lineRule="auto"/>
            </w:pPr>
            <w:r>
              <w:rPr>
                <w:sz w:val="18"/>
              </w:rPr>
              <w:t>051</w:t>
            </w:r>
          </w:p>
        </w:tc>
        <w:tc>
          <w:tcPr>
            <w:tcW w:w="1860" w:type="dxa"/>
            <w:tcMar>
              <w:top w:w="0" w:type="dxa"/>
              <w:bottom w:w="0" w:type="dxa"/>
            </w:tcMar>
            <w:vAlign w:val="center"/>
          </w:tcPr>
          <w:p w:rsidR="00EB6F6A" w:rsidRDefault="00286458">
            <w:pPr>
              <w:keepNext/>
              <w:keepLines/>
              <w:spacing w:after="0" w:line="240" w:lineRule="auto"/>
              <w:jc w:val="right"/>
            </w:pPr>
            <w:r>
              <w:rPr>
                <w:sz w:val="18"/>
              </w:rPr>
              <w:t>89.595.497,33</w:t>
            </w:r>
          </w:p>
        </w:tc>
        <w:tc>
          <w:tcPr>
            <w:tcW w:w="1860" w:type="dxa"/>
            <w:tcMar>
              <w:top w:w="0" w:type="dxa"/>
              <w:bottom w:w="0" w:type="dxa"/>
            </w:tcMar>
            <w:vAlign w:val="center"/>
          </w:tcPr>
          <w:p w:rsidR="00EB6F6A" w:rsidRDefault="00286458">
            <w:pPr>
              <w:keepNext/>
              <w:keepLines/>
              <w:spacing w:after="0" w:line="240" w:lineRule="auto"/>
              <w:jc w:val="right"/>
            </w:pPr>
            <w:r>
              <w:rPr>
                <w:sz w:val="18"/>
              </w:rPr>
              <w:t>108.961.293,79</w:t>
            </w:r>
          </w:p>
        </w:tc>
        <w:tc>
          <w:tcPr>
            <w:tcW w:w="700" w:type="dxa"/>
            <w:tcMar>
              <w:top w:w="0" w:type="dxa"/>
              <w:bottom w:w="0" w:type="dxa"/>
            </w:tcMar>
            <w:vAlign w:val="center"/>
          </w:tcPr>
          <w:p w:rsidR="00EB6F6A" w:rsidRDefault="00286458">
            <w:pPr>
              <w:keepNext/>
              <w:keepLines/>
              <w:spacing w:after="0" w:line="240" w:lineRule="auto"/>
              <w:jc w:val="right"/>
            </w:pPr>
            <w:r>
              <w:rPr>
                <w:sz w:val="18"/>
              </w:rPr>
              <w:t>121,6</w:t>
            </w:r>
          </w:p>
        </w:tc>
      </w:tr>
    </w:tbl>
    <w:p w:rsidR="00EB6F6A" w:rsidRDefault="00EB6F6A">
      <w:pPr>
        <w:spacing w:after="0"/>
      </w:pPr>
    </w:p>
    <w:p w:rsidR="00EB6F6A" w:rsidRDefault="00286458">
      <w:pPr>
        <w:jc w:val="both"/>
      </w:pPr>
      <w:r>
        <w:t>Građevinski objekti u pripremi (Šifra 051) na dan 31. prosinca 2025. godine iskazani su u iznosu od 108.961.294 EUR što je za 21,6% više u odnosu na isti datum 2024. godine. </w:t>
      </w:r>
    </w:p>
    <w:p w:rsidR="00EB6F6A" w:rsidRDefault="00286458">
      <w:pPr>
        <w:jc w:val="both"/>
      </w:pPr>
      <w:r>
        <w:t>Na povećanje vrijednosti građevinskih objekata u pripremi utjecalo je dodatno ula</w:t>
      </w:r>
      <w:r>
        <w:t xml:space="preserve">ganje na građevinskim objektima koji se odnose na radove na obnovi šteta od potresa za Projekt obnove od potresa bolnice Petrove 13 (FSEU.2021.MZ.004.), Projekt obnove od potresa Klinike za plućne bolesti KBC-a Zagreb na lokaciji </w:t>
      </w:r>
      <w:proofErr w:type="spellStart"/>
      <w:r>
        <w:t>Jordanovac</w:t>
      </w:r>
      <w:proofErr w:type="spellEnd"/>
      <w:r>
        <w:t xml:space="preserve"> (FSEU.2021.MZ.0</w:t>
      </w:r>
      <w:r>
        <w:t xml:space="preserve">10.), Projekt cjelovite obnove od potresa Glavne zgrade KBC-a Zagreb na lokaciji </w:t>
      </w:r>
      <w:proofErr w:type="spellStart"/>
      <w:r>
        <w:t>Kišpatićeva</w:t>
      </w:r>
      <w:proofErr w:type="spellEnd"/>
      <w:r>
        <w:t xml:space="preserve"> 12 (FSEU.2021.MZ.024.) u ukupnom iznosu od 51.657.562 EUR. </w:t>
      </w:r>
    </w:p>
    <w:p w:rsidR="00EB6F6A" w:rsidRDefault="00286458">
      <w:pPr>
        <w:jc w:val="both"/>
      </w:pPr>
      <w:r>
        <w:t>Značajnija dodatna ulaganja na građevinskim objektima odnose se na radove na rekonstrukciji i adaptacij</w:t>
      </w:r>
      <w:r>
        <w:t xml:space="preserve">i prostora za smještaj linearnog akceleratora na lokaciji Rebro, Petrova i </w:t>
      </w:r>
      <w:proofErr w:type="spellStart"/>
      <w:r>
        <w:t>Jordanovac</w:t>
      </w:r>
      <w:proofErr w:type="spellEnd"/>
      <w:r>
        <w:t xml:space="preserve"> u ukupnom iznosu od 3.563.783 EUR.</w:t>
      </w:r>
    </w:p>
    <w:p w:rsidR="00EB6F6A" w:rsidRDefault="00EB6F6A"/>
    <w:p w:rsidR="00EB6F6A" w:rsidRDefault="00286458">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06</w:t>
            </w:r>
          </w:p>
        </w:tc>
        <w:tc>
          <w:tcPr>
            <w:tcW w:w="3180" w:type="dxa"/>
            <w:tcMar>
              <w:top w:w="0" w:type="dxa"/>
              <w:bottom w:w="0" w:type="dxa"/>
            </w:tcMar>
            <w:vAlign w:val="center"/>
          </w:tcPr>
          <w:p w:rsidR="00EB6F6A" w:rsidRDefault="00286458">
            <w:pPr>
              <w:keepNext/>
              <w:keepLines/>
              <w:spacing w:after="0" w:line="240" w:lineRule="auto"/>
            </w:pPr>
            <w:r>
              <w:rPr>
                <w:sz w:val="18"/>
              </w:rPr>
              <w:t xml:space="preserve">Proizvedena kratkotrajna </w:t>
            </w:r>
            <w:r>
              <w:rPr>
                <w:sz w:val="18"/>
              </w:rPr>
              <w:t>imovina (šifre 061 do 065)</w:t>
            </w:r>
          </w:p>
        </w:tc>
        <w:tc>
          <w:tcPr>
            <w:tcW w:w="700" w:type="dxa"/>
            <w:tcMar>
              <w:top w:w="0" w:type="dxa"/>
              <w:bottom w:w="0" w:type="dxa"/>
            </w:tcMar>
            <w:vAlign w:val="center"/>
          </w:tcPr>
          <w:p w:rsidR="00EB6F6A" w:rsidRDefault="00286458">
            <w:pPr>
              <w:keepNext/>
              <w:keepLines/>
              <w:spacing w:after="0" w:line="240" w:lineRule="auto"/>
            </w:pPr>
            <w:r>
              <w:rPr>
                <w:sz w:val="18"/>
              </w:rPr>
              <w:t>06</w:t>
            </w:r>
          </w:p>
        </w:tc>
        <w:tc>
          <w:tcPr>
            <w:tcW w:w="1860" w:type="dxa"/>
            <w:tcMar>
              <w:top w:w="0" w:type="dxa"/>
              <w:bottom w:w="0" w:type="dxa"/>
            </w:tcMar>
            <w:vAlign w:val="center"/>
          </w:tcPr>
          <w:p w:rsidR="00EB6F6A" w:rsidRDefault="00286458">
            <w:pPr>
              <w:keepNext/>
              <w:keepLines/>
              <w:spacing w:after="0" w:line="240" w:lineRule="auto"/>
              <w:jc w:val="right"/>
            </w:pPr>
            <w:r>
              <w:rPr>
                <w:sz w:val="18"/>
              </w:rPr>
              <w:t>3.487.239,69</w:t>
            </w:r>
          </w:p>
        </w:tc>
        <w:tc>
          <w:tcPr>
            <w:tcW w:w="1860" w:type="dxa"/>
            <w:tcMar>
              <w:top w:w="0" w:type="dxa"/>
              <w:bottom w:w="0" w:type="dxa"/>
            </w:tcMar>
            <w:vAlign w:val="center"/>
          </w:tcPr>
          <w:p w:rsidR="00EB6F6A" w:rsidRDefault="00286458">
            <w:pPr>
              <w:keepNext/>
              <w:keepLines/>
              <w:spacing w:after="0" w:line="240" w:lineRule="auto"/>
              <w:jc w:val="right"/>
            </w:pPr>
            <w:r>
              <w:rPr>
                <w:sz w:val="18"/>
              </w:rPr>
              <w:t>3.767.299,76</w:t>
            </w:r>
          </w:p>
        </w:tc>
        <w:tc>
          <w:tcPr>
            <w:tcW w:w="700" w:type="dxa"/>
            <w:tcMar>
              <w:top w:w="0" w:type="dxa"/>
              <w:bottom w:w="0" w:type="dxa"/>
            </w:tcMar>
            <w:vAlign w:val="center"/>
          </w:tcPr>
          <w:p w:rsidR="00EB6F6A" w:rsidRDefault="00286458">
            <w:pPr>
              <w:keepNext/>
              <w:keepLines/>
              <w:spacing w:after="0" w:line="240" w:lineRule="auto"/>
              <w:jc w:val="right"/>
            </w:pPr>
            <w:r>
              <w:rPr>
                <w:sz w:val="18"/>
              </w:rPr>
              <w:t>108,0</w:t>
            </w:r>
          </w:p>
        </w:tc>
      </w:tr>
    </w:tbl>
    <w:p w:rsidR="00EB6F6A" w:rsidRDefault="00EB6F6A">
      <w:pPr>
        <w:spacing w:after="0"/>
      </w:pPr>
    </w:p>
    <w:p w:rsidR="00EB6F6A" w:rsidRDefault="00286458">
      <w:pPr>
        <w:jc w:val="both"/>
      </w:pPr>
      <w:r>
        <w:t>Proizvedena kratkotrajna imovina (Šifre 061 do 065) na dan 31. prosinca 2025. godine iskazana je u iznosu od 3.767.300 EUR što je za 8,0% više u odnosu na isti datum 2024. godine.</w:t>
      </w:r>
    </w:p>
    <w:p w:rsidR="00EB6F6A" w:rsidRDefault="00286458">
      <w:pPr>
        <w:jc w:val="both"/>
      </w:pPr>
      <w:r>
        <w:t>Smanjenje vrijednosti zaliha za obavljanje djelatnosti (šifra 061) rezultat je promjene načina evidentiranja zaliha lijekova, medicinskog potrošnog materijala te krvi i krvnih pripravaka, koja se primjenjuje od 1. siječnja 2025. godine. Sukladno novom Prav</w:t>
      </w:r>
      <w:r>
        <w:t>ilniku o proračunskom računovodstvu i Računskom planu, otvorena je nova podskupina 065 – Zalihe lijekova i potrošnog medicinskog materijala kod zdravstvenih ustanova. Slijedom navedene promjene, sve zalihe lijekova, medicinskog potrošnog materijala te krvi</w:t>
      </w:r>
      <w:r>
        <w:t xml:space="preserve"> i krvnih pripravaka od 1. siječnja 2025. godine evidentiraju se u podskupini 065 Računskog plana, umjesto u podskupini 061.</w:t>
      </w:r>
    </w:p>
    <w:p w:rsidR="00EB6F6A" w:rsidRDefault="00EB6F6A"/>
    <w:p w:rsidR="00EB6F6A" w:rsidRDefault="00286458">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129</w:t>
            </w:r>
          </w:p>
        </w:tc>
        <w:tc>
          <w:tcPr>
            <w:tcW w:w="3180" w:type="dxa"/>
            <w:tcMar>
              <w:top w:w="0" w:type="dxa"/>
              <w:bottom w:w="0" w:type="dxa"/>
            </w:tcMar>
            <w:vAlign w:val="center"/>
          </w:tcPr>
          <w:p w:rsidR="00EB6F6A" w:rsidRDefault="00286458">
            <w:pPr>
              <w:keepNext/>
              <w:keepLines/>
              <w:spacing w:after="0" w:line="240" w:lineRule="auto"/>
            </w:pPr>
            <w:r>
              <w:rPr>
                <w:sz w:val="18"/>
              </w:rPr>
              <w:t>Ostala potraživanja</w:t>
            </w:r>
          </w:p>
        </w:tc>
        <w:tc>
          <w:tcPr>
            <w:tcW w:w="700" w:type="dxa"/>
            <w:tcMar>
              <w:top w:w="0" w:type="dxa"/>
              <w:bottom w:w="0" w:type="dxa"/>
            </w:tcMar>
            <w:vAlign w:val="center"/>
          </w:tcPr>
          <w:p w:rsidR="00EB6F6A" w:rsidRDefault="00286458">
            <w:pPr>
              <w:keepNext/>
              <w:keepLines/>
              <w:spacing w:after="0" w:line="240" w:lineRule="auto"/>
            </w:pPr>
            <w:r>
              <w:rPr>
                <w:sz w:val="18"/>
              </w:rPr>
              <w:t>129</w:t>
            </w:r>
          </w:p>
        </w:tc>
        <w:tc>
          <w:tcPr>
            <w:tcW w:w="1860" w:type="dxa"/>
            <w:tcMar>
              <w:top w:w="0" w:type="dxa"/>
              <w:bottom w:w="0" w:type="dxa"/>
            </w:tcMar>
            <w:vAlign w:val="center"/>
          </w:tcPr>
          <w:p w:rsidR="00EB6F6A" w:rsidRDefault="00286458">
            <w:pPr>
              <w:keepNext/>
              <w:keepLines/>
              <w:spacing w:after="0" w:line="240" w:lineRule="auto"/>
              <w:jc w:val="right"/>
            </w:pPr>
            <w:r>
              <w:rPr>
                <w:sz w:val="18"/>
              </w:rPr>
              <w:t>898.418,74</w:t>
            </w:r>
          </w:p>
        </w:tc>
        <w:tc>
          <w:tcPr>
            <w:tcW w:w="1860" w:type="dxa"/>
            <w:tcMar>
              <w:top w:w="0" w:type="dxa"/>
              <w:bottom w:w="0" w:type="dxa"/>
            </w:tcMar>
            <w:vAlign w:val="center"/>
          </w:tcPr>
          <w:p w:rsidR="00EB6F6A" w:rsidRDefault="00286458">
            <w:pPr>
              <w:keepNext/>
              <w:keepLines/>
              <w:spacing w:after="0" w:line="240" w:lineRule="auto"/>
              <w:jc w:val="right"/>
            </w:pPr>
            <w:r>
              <w:rPr>
                <w:sz w:val="18"/>
              </w:rPr>
              <w:t>1.051.519,79</w:t>
            </w:r>
          </w:p>
        </w:tc>
        <w:tc>
          <w:tcPr>
            <w:tcW w:w="700" w:type="dxa"/>
            <w:tcMar>
              <w:top w:w="0" w:type="dxa"/>
              <w:bottom w:w="0" w:type="dxa"/>
            </w:tcMar>
            <w:vAlign w:val="center"/>
          </w:tcPr>
          <w:p w:rsidR="00EB6F6A" w:rsidRDefault="00286458">
            <w:pPr>
              <w:keepNext/>
              <w:keepLines/>
              <w:spacing w:after="0" w:line="240" w:lineRule="auto"/>
              <w:jc w:val="right"/>
            </w:pPr>
            <w:r>
              <w:rPr>
                <w:sz w:val="18"/>
              </w:rPr>
              <w:t>117,0</w:t>
            </w:r>
          </w:p>
        </w:tc>
      </w:tr>
    </w:tbl>
    <w:p w:rsidR="00EB6F6A" w:rsidRDefault="00EB6F6A">
      <w:pPr>
        <w:spacing w:after="0"/>
      </w:pPr>
    </w:p>
    <w:p w:rsidR="00EB6F6A" w:rsidRDefault="00286458">
      <w:pPr>
        <w:jc w:val="both"/>
      </w:pPr>
      <w:r>
        <w:t>Ostala potraživanja (Šifra 129) na dan 31. prosinca 2025. godine iskazana su u iznosu od 1.051.520 EUR što je za 17,0% više u odnosu na isti datum 2024. godine.</w:t>
      </w:r>
    </w:p>
    <w:p w:rsidR="00EB6F6A" w:rsidRDefault="00286458">
      <w:pPr>
        <w:jc w:val="both"/>
      </w:pPr>
      <w:r>
        <w:t>Povećanje ostalih potraživanja prvenstveno se odnosi na veći iznos potraživanja prema HZZO-u za refundaciju naknada plaća zbog bolovanja duljeg od 42 dana, kao i za naknade plaća vezane uz ozljede na radu i profesionalne bolesti, koje do kraja izvještajnog</w:t>
      </w:r>
      <w:r>
        <w:t xml:space="preserve"> razdoblja još nisu bile naplaćene.</w:t>
      </w:r>
    </w:p>
    <w:p w:rsidR="00EB6F6A" w:rsidRDefault="00EB6F6A"/>
    <w:p w:rsidR="00EB6F6A" w:rsidRDefault="00286458">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16</w:t>
            </w:r>
          </w:p>
        </w:tc>
        <w:tc>
          <w:tcPr>
            <w:tcW w:w="3180" w:type="dxa"/>
            <w:tcMar>
              <w:top w:w="0" w:type="dxa"/>
              <w:bottom w:w="0" w:type="dxa"/>
            </w:tcMar>
            <w:vAlign w:val="center"/>
          </w:tcPr>
          <w:p w:rsidR="00EB6F6A" w:rsidRDefault="00286458">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EB6F6A" w:rsidRDefault="00286458">
            <w:pPr>
              <w:keepNext/>
              <w:keepLines/>
              <w:spacing w:after="0" w:line="240" w:lineRule="auto"/>
            </w:pPr>
            <w:r>
              <w:rPr>
                <w:sz w:val="18"/>
              </w:rPr>
              <w:t>16</w:t>
            </w:r>
          </w:p>
        </w:tc>
        <w:tc>
          <w:tcPr>
            <w:tcW w:w="1860" w:type="dxa"/>
            <w:tcMar>
              <w:top w:w="0" w:type="dxa"/>
              <w:bottom w:w="0" w:type="dxa"/>
            </w:tcMar>
            <w:vAlign w:val="center"/>
          </w:tcPr>
          <w:p w:rsidR="00EB6F6A" w:rsidRDefault="00286458">
            <w:pPr>
              <w:keepNext/>
              <w:keepLines/>
              <w:spacing w:after="0" w:line="240" w:lineRule="auto"/>
              <w:jc w:val="right"/>
            </w:pPr>
            <w:r>
              <w:rPr>
                <w:sz w:val="18"/>
              </w:rPr>
              <w:t>72.265.920,76</w:t>
            </w:r>
          </w:p>
        </w:tc>
        <w:tc>
          <w:tcPr>
            <w:tcW w:w="1860" w:type="dxa"/>
            <w:tcMar>
              <w:top w:w="0" w:type="dxa"/>
              <w:bottom w:w="0" w:type="dxa"/>
            </w:tcMar>
            <w:vAlign w:val="center"/>
          </w:tcPr>
          <w:p w:rsidR="00EB6F6A" w:rsidRDefault="00286458">
            <w:pPr>
              <w:keepNext/>
              <w:keepLines/>
              <w:spacing w:after="0" w:line="240" w:lineRule="auto"/>
              <w:jc w:val="right"/>
            </w:pPr>
            <w:r>
              <w:rPr>
                <w:sz w:val="18"/>
              </w:rPr>
              <w:t>81.228.469,18</w:t>
            </w:r>
          </w:p>
        </w:tc>
        <w:tc>
          <w:tcPr>
            <w:tcW w:w="700" w:type="dxa"/>
            <w:tcMar>
              <w:top w:w="0" w:type="dxa"/>
              <w:bottom w:w="0" w:type="dxa"/>
            </w:tcMar>
            <w:vAlign w:val="center"/>
          </w:tcPr>
          <w:p w:rsidR="00EB6F6A" w:rsidRDefault="00286458">
            <w:pPr>
              <w:keepNext/>
              <w:keepLines/>
              <w:spacing w:after="0" w:line="240" w:lineRule="auto"/>
              <w:jc w:val="right"/>
            </w:pPr>
            <w:r>
              <w:rPr>
                <w:sz w:val="18"/>
              </w:rPr>
              <w:t>112,4</w:t>
            </w:r>
          </w:p>
        </w:tc>
      </w:tr>
    </w:tbl>
    <w:p w:rsidR="00EB6F6A" w:rsidRDefault="00EB6F6A">
      <w:pPr>
        <w:spacing w:after="0"/>
      </w:pPr>
    </w:p>
    <w:p w:rsidR="00EB6F6A" w:rsidRDefault="00286458">
      <w:r>
        <w:t>Potraživanja za prihode poslovanja (Šifra 16) na dan 31. prosinca 2025. godine iskazana su u iznosu od 81.228.469 EUR što je za 12,4% više u odnosu na isti datum 2024. godine.</w:t>
      </w:r>
    </w:p>
    <w:p w:rsidR="00EB6F6A" w:rsidRDefault="00286458">
      <w:r>
        <w:lastRenderedPageBreak/>
        <w:t xml:space="preserve">Najveći porast bilježe potraživanja za participacije i dopunsko osiguranje, kao </w:t>
      </w:r>
      <w:r>
        <w:t xml:space="preserve">i potraživanja za prihode ostvarene na tržištu. Na povećanje navedenih potraživanja najviše je utjecao porast potraživanja za dopunsko zdravstveno osiguranje HZZO-a koji je rezultat porasta cijena DTP-a i DTS-a, prvenstveno porast cijena usluga u prosjeku </w:t>
      </w:r>
      <w:r>
        <w:t>za 10% od 5. prosinca 2025. godine. Na rast potraživanja utjecao je povećani opseg fakturiranja u završnom dijelu izvještajnog razdoblja, kao i dinamika plaćanja HZZO-a.</w:t>
      </w:r>
    </w:p>
    <w:p w:rsidR="00EB6F6A" w:rsidRDefault="00EB6F6A"/>
    <w:p w:rsidR="00EB6F6A" w:rsidRDefault="00286458">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w:t>
            </w:r>
            <w:r>
              <w:rPr>
                <w:b/>
                <w:sz w:val="18"/>
              </w:rPr>
              <w:t>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23</w:t>
            </w:r>
          </w:p>
        </w:tc>
        <w:tc>
          <w:tcPr>
            <w:tcW w:w="3180" w:type="dxa"/>
            <w:tcMar>
              <w:top w:w="0" w:type="dxa"/>
              <w:bottom w:w="0" w:type="dxa"/>
            </w:tcMar>
            <w:vAlign w:val="center"/>
          </w:tcPr>
          <w:p w:rsidR="00EB6F6A" w:rsidRDefault="00286458">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rsidR="00EB6F6A" w:rsidRDefault="00286458">
            <w:pPr>
              <w:keepNext/>
              <w:keepLines/>
              <w:spacing w:after="0" w:line="240" w:lineRule="auto"/>
            </w:pPr>
            <w:r>
              <w:rPr>
                <w:sz w:val="18"/>
              </w:rPr>
              <w:t>23</w:t>
            </w:r>
          </w:p>
        </w:tc>
        <w:tc>
          <w:tcPr>
            <w:tcW w:w="1860" w:type="dxa"/>
            <w:tcMar>
              <w:top w:w="0" w:type="dxa"/>
              <w:bottom w:w="0" w:type="dxa"/>
            </w:tcMar>
            <w:vAlign w:val="center"/>
          </w:tcPr>
          <w:p w:rsidR="00EB6F6A" w:rsidRDefault="00286458">
            <w:pPr>
              <w:keepNext/>
              <w:keepLines/>
              <w:spacing w:after="0" w:line="240" w:lineRule="auto"/>
              <w:jc w:val="right"/>
            </w:pPr>
            <w:r>
              <w:rPr>
                <w:sz w:val="18"/>
              </w:rPr>
              <w:t>195.835.120,52</w:t>
            </w:r>
          </w:p>
        </w:tc>
        <w:tc>
          <w:tcPr>
            <w:tcW w:w="1860" w:type="dxa"/>
            <w:tcMar>
              <w:top w:w="0" w:type="dxa"/>
              <w:bottom w:w="0" w:type="dxa"/>
            </w:tcMar>
            <w:vAlign w:val="center"/>
          </w:tcPr>
          <w:p w:rsidR="00EB6F6A" w:rsidRDefault="00286458">
            <w:pPr>
              <w:keepNext/>
              <w:keepLines/>
              <w:spacing w:after="0" w:line="240" w:lineRule="auto"/>
              <w:jc w:val="right"/>
            </w:pPr>
            <w:r>
              <w:rPr>
                <w:sz w:val="18"/>
              </w:rPr>
              <w:t>216.099.285,01</w:t>
            </w:r>
          </w:p>
        </w:tc>
        <w:tc>
          <w:tcPr>
            <w:tcW w:w="700" w:type="dxa"/>
            <w:tcMar>
              <w:top w:w="0" w:type="dxa"/>
              <w:bottom w:w="0" w:type="dxa"/>
            </w:tcMar>
            <w:vAlign w:val="center"/>
          </w:tcPr>
          <w:p w:rsidR="00EB6F6A" w:rsidRDefault="00286458">
            <w:pPr>
              <w:keepNext/>
              <w:keepLines/>
              <w:spacing w:after="0" w:line="240" w:lineRule="auto"/>
              <w:jc w:val="right"/>
            </w:pPr>
            <w:r>
              <w:rPr>
                <w:sz w:val="18"/>
              </w:rPr>
              <w:t>110,3</w:t>
            </w:r>
          </w:p>
        </w:tc>
      </w:tr>
    </w:tbl>
    <w:p w:rsidR="00EB6F6A" w:rsidRDefault="00EB6F6A">
      <w:pPr>
        <w:spacing w:after="0"/>
      </w:pPr>
    </w:p>
    <w:p w:rsidR="00EB6F6A" w:rsidRDefault="00286458">
      <w:pPr>
        <w:jc w:val="both"/>
      </w:pPr>
      <w:r>
        <w:t>Obveze za rashode poslovanja (Šifra 23) na dan 31. prosinca 2025. godine iskazane su u iznosu od 216.099.285 EUR što je za 10,3% više u odnosu na isti datum 2024. godine.</w:t>
      </w:r>
    </w:p>
    <w:p w:rsidR="00EB6F6A" w:rsidRDefault="00286458">
      <w:pPr>
        <w:jc w:val="both"/>
      </w:pPr>
      <w:r>
        <w:t>Navedene obveze obuhvaćaju obveze za zaposlene, obveze za materijal i energiju, obvez</w:t>
      </w:r>
      <w:r>
        <w:t>e za tekuće i investicijsko održavanje, zakupnine i režijske troškove, usluge drugih zdravstvenih ustanova, premije osiguranja, ostale usluge, obveze za financijske rashode, kao i ostale tekuće obveze.</w:t>
      </w:r>
    </w:p>
    <w:p w:rsidR="00EB6F6A" w:rsidRDefault="00EB6F6A"/>
    <w:p w:rsidR="00EB6F6A" w:rsidRDefault="00286458">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232</w:t>
            </w:r>
          </w:p>
        </w:tc>
        <w:tc>
          <w:tcPr>
            <w:tcW w:w="3180" w:type="dxa"/>
            <w:tcMar>
              <w:top w:w="0" w:type="dxa"/>
              <w:bottom w:w="0" w:type="dxa"/>
            </w:tcMar>
            <w:vAlign w:val="center"/>
          </w:tcPr>
          <w:p w:rsidR="00EB6F6A" w:rsidRDefault="00286458">
            <w:pPr>
              <w:keepNext/>
              <w:keepLines/>
              <w:spacing w:after="0" w:line="240" w:lineRule="auto"/>
            </w:pPr>
            <w:r>
              <w:rPr>
                <w:sz w:val="18"/>
              </w:rPr>
              <w:t>Obveze za materijalne rashode</w:t>
            </w:r>
          </w:p>
        </w:tc>
        <w:tc>
          <w:tcPr>
            <w:tcW w:w="700" w:type="dxa"/>
            <w:tcMar>
              <w:top w:w="0" w:type="dxa"/>
              <w:bottom w:w="0" w:type="dxa"/>
            </w:tcMar>
            <w:vAlign w:val="center"/>
          </w:tcPr>
          <w:p w:rsidR="00EB6F6A" w:rsidRDefault="00286458">
            <w:pPr>
              <w:keepNext/>
              <w:keepLines/>
              <w:spacing w:after="0" w:line="240" w:lineRule="auto"/>
            </w:pPr>
            <w:r>
              <w:rPr>
                <w:sz w:val="18"/>
              </w:rPr>
              <w:t>232</w:t>
            </w:r>
          </w:p>
        </w:tc>
        <w:tc>
          <w:tcPr>
            <w:tcW w:w="1860" w:type="dxa"/>
            <w:tcMar>
              <w:top w:w="0" w:type="dxa"/>
              <w:bottom w:w="0" w:type="dxa"/>
            </w:tcMar>
            <w:vAlign w:val="center"/>
          </w:tcPr>
          <w:p w:rsidR="00EB6F6A" w:rsidRDefault="00286458">
            <w:pPr>
              <w:keepNext/>
              <w:keepLines/>
              <w:spacing w:after="0" w:line="240" w:lineRule="auto"/>
              <w:jc w:val="right"/>
            </w:pPr>
            <w:r>
              <w:rPr>
                <w:sz w:val="18"/>
              </w:rPr>
              <w:t>173.293.811,92</w:t>
            </w:r>
          </w:p>
        </w:tc>
        <w:tc>
          <w:tcPr>
            <w:tcW w:w="1860" w:type="dxa"/>
            <w:tcMar>
              <w:top w:w="0" w:type="dxa"/>
              <w:bottom w:w="0" w:type="dxa"/>
            </w:tcMar>
            <w:vAlign w:val="center"/>
          </w:tcPr>
          <w:p w:rsidR="00EB6F6A" w:rsidRDefault="00286458">
            <w:pPr>
              <w:keepNext/>
              <w:keepLines/>
              <w:spacing w:after="0" w:line="240" w:lineRule="auto"/>
              <w:jc w:val="right"/>
            </w:pPr>
            <w:r>
              <w:rPr>
                <w:sz w:val="18"/>
              </w:rPr>
              <w:t>191.251.854,55</w:t>
            </w:r>
          </w:p>
        </w:tc>
        <w:tc>
          <w:tcPr>
            <w:tcW w:w="700" w:type="dxa"/>
            <w:tcMar>
              <w:top w:w="0" w:type="dxa"/>
              <w:bottom w:w="0" w:type="dxa"/>
            </w:tcMar>
            <w:vAlign w:val="center"/>
          </w:tcPr>
          <w:p w:rsidR="00EB6F6A" w:rsidRDefault="00286458">
            <w:pPr>
              <w:keepNext/>
              <w:keepLines/>
              <w:spacing w:after="0" w:line="240" w:lineRule="auto"/>
              <w:jc w:val="right"/>
            </w:pPr>
            <w:r>
              <w:rPr>
                <w:sz w:val="18"/>
              </w:rPr>
              <w:t>110,4</w:t>
            </w:r>
          </w:p>
        </w:tc>
      </w:tr>
    </w:tbl>
    <w:p w:rsidR="00EB6F6A" w:rsidRDefault="00EB6F6A">
      <w:pPr>
        <w:spacing w:after="0"/>
      </w:pPr>
    </w:p>
    <w:p w:rsidR="00EB6F6A" w:rsidRDefault="00286458">
      <w:pPr>
        <w:jc w:val="both"/>
      </w:pPr>
      <w:r>
        <w:t>Obveze za materijalne rashode (Šifra 232) na dan 31. prosinca 2025. godine iskazane su u iznosu od 191.251.855 EUR što je za 10,4% više u odnosu na isti datum 2024. godine.</w:t>
      </w:r>
    </w:p>
    <w:p w:rsidR="00EB6F6A" w:rsidRDefault="00286458">
      <w:pPr>
        <w:jc w:val="both"/>
      </w:pPr>
      <w:r>
        <w:t>Od ukupno iskazanog iznosa na ovoj poziciji 184.571.800 EUR odnosi na obveze za lij</w:t>
      </w:r>
      <w:r>
        <w:t>ekove i medicinski potrošni materijal.</w:t>
      </w:r>
    </w:p>
    <w:p w:rsidR="00EB6F6A" w:rsidRDefault="00EB6F6A"/>
    <w:p w:rsidR="00EB6F6A" w:rsidRDefault="00286458">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234</w:t>
            </w:r>
          </w:p>
        </w:tc>
        <w:tc>
          <w:tcPr>
            <w:tcW w:w="3180" w:type="dxa"/>
            <w:tcMar>
              <w:top w:w="0" w:type="dxa"/>
              <w:bottom w:w="0" w:type="dxa"/>
            </w:tcMar>
            <w:vAlign w:val="center"/>
          </w:tcPr>
          <w:p w:rsidR="00EB6F6A" w:rsidRDefault="00286458">
            <w:pPr>
              <w:keepNext/>
              <w:keepLines/>
              <w:spacing w:after="0" w:line="240" w:lineRule="auto"/>
            </w:pPr>
            <w:r>
              <w:rPr>
                <w:sz w:val="18"/>
              </w:rPr>
              <w:t>Obveze za financijske rashode (šifre 2341 do 2343)</w:t>
            </w:r>
          </w:p>
        </w:tc>
        <w:tc>
          <w:tcPr>
            <w:tcW w:w="700" w:type="dxa"/>
            <w:tcMar>
              <w:top w:w="0" w:type="dxa"/>
              <w:bottom w:w="0" w:type="dxa"/>
            </w:tcMar>
            <w:vAlign w:val="center"/>
          </w:tcPr>
          <w:p w:rsidR="00EB6F6A" w:rsidRDefault="00286458">
            <w:pPr>
              <w:keepNext/>
              <w:keepLines/>
              <w:spacing w:after="0" w:line="240" w:lineRule="auto"/>
            </w:pPr>
            <w:r>
              <w:rPr>
                <w:sz w:val="18"/>
              </w:rPr>
              <w:t>234</w:t>
            </w:r>
          </w:p>
        </w:tc>
        <w:tc>
          <w:tcPr>
            <w:tcW w:w="1860" w:type="dxa"/>
            <w:tcMar>
              <w:top w:w="0" w:type="dxa"/>
              <w:bottom w:w="0" w:type="dxa"/>
            </w:tcMar>
            <w:vAlign w:val="center"/>
          </w:tcPr>
          <w:p w:rsidR="00EB6F6A" w:rsidRDefault="00286458">
            <w:pPr>
              <w:keepNext/>
              <w:keepLines/>
              <w:spacing w:after="0" w:line="240" w:lineRule="auto"/>
              <w:jc w:val="right"/>
            </w:pPr>
            <w:r>
              <w:rPr>
                <w:sz w:val="18"/>
              </w:rPr>
              <w:t>2.871.195,34</w:t>
            </w:r>
          </w:p>
        </w:tc>
        <w:tc>
          <w:tcPr>
            <w:tcW w:w="1860" w:type="dxa"/>
            <w:tcMar>
              <w:top w:w="0" w:type="dxa"/>
              <w:bottom w:w="0" w:type="dxa"/>
            </w:tcMar>
            <w:vAlign w:val="center"/>
          </w:tcPr>
          <w:p w:rsidR="00EB6F6A" w:rsidRDefault="00286458">
            <w:pPr>
              <w:keepNext/>
              <w:keepLines/>
              <w:spacing w:after="0" w:line="240" w:lineRule="auto"/>
              <w:jc w:val="right"/>
            </w:pPr>
            <w:r>
              <w:rPr>
                <w:sz w:val="18"/>
              </w:rPr>
              <w:t>3.916.229,38</w:t>
            </w:r>
          </w:p>
        </w:tc>
        <w:tc>
          <w:tcPr>
            <w:tcW w:w="700" w:type="dxa"/>
            <w:tcMar>
              <w:top w:w="0" w:type="dxa"/>
              <w:bottom w:w="0" w:type="dxa"/>
            </w:tcMar>
            <w:vAlign w:val="center"/>
          </w:tcPr>
          <w:p w:rsidR="00EB6F6A" w:rsidRDefault="00286458">
            <w:pPr>
              <w:keepNext/>
              <w:keepLines/>
              <w:spacing w:after="0" w:line="240" w:lineRule="auto"/>
              <w:jc w:val="right"/>
            </w:pPr>
            <w:r>
              <w:rPr>
                <w:sz w:val="18"/>
              </w:rPr>
              <w:t>136,4</w:t>
            </w:r>
          </w:p>
        </w:tc>
      </w:tr>
    </w:tbl>
    <w:p w:rsidR="00EB6F6A" w:rsidRDefault="00EB6F6A">
      <w:pPr>
        <w:spacing w:after="0"/>
      </w:pPr>
    </w:p>
    <w:p w:rsidR="00EB6F6A" w:rsidRDefault="00286458">
      <w:pPr>
        <w:jc w:val="both"/>
      </w:pPr>
      <w:r>
        <w:t>Obveze za financijske rashode (Šifra 234) na dan 31. prosinca 2025. godine iskazane su u iznosu od 3.916.229,38 EUR što je za 36,4% više u odnosu na isti datum 2024. godine.</w:t>
      </w:r>
    </w:p>
    <w:p w:rsidR="00EB6F6A" w:rsidRDefault="00286458">
      <w:pPr>
        <w:jc w:val="both"/>
      </w:pPr>
      <w:r>
        <w:lastRenderedPageBreak/>
        <w:t xml:space="preserve">Povećanje obveza za financijske rashode odnosi se na fakturirane zakonske zatezne </w:t>
      </w:r>
      <w:r>
        <w:t xml:space="preserve">kamate koje su </w:t>
      </w:r>
      <w:proofErr w:type="spellStart"/>
      <w:r>
        <w:t>veledrogerije</w:t>
      </w:r>
      <w:proofErr w:type="spellEnd"/>
      <w:r>
        <w:t xml:space="preserve"> tijekom 2025. godine obračunale i ispostavile.</w:t>
      </w:r>
    </w:p>
    <w:p w:rsidR="00EB6F6A" w:rsidRDefault="00EB6F6A"/>
    <w:p w:rsidR="00EB6F6A" w:rsidRDefault="00286458">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24</w:t>
            </w:r>
          </w:p>
        </w:tc>
        <w:tc>
          <w:tcPr>
            <w:tcW w:w="3180" w:type="dxa"/>
            <w:tcMar>
              <w:top w:w="0" w:type="dxa"/>
              <w:bottom w:w="0" w:type="dxa"/>
            </w:tcMar>
            <w:vAlign w:val="center"/>
          </w:tcPr>
          <w:p w:rsidR="00EB6F6A" w:rsidRDefault="00286458">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EB6F6A" w:rsidRDefault="00286458">
            <w:pPr>
              <w:keepNext/>
              <w:keepLines/>
              <w:spacing w:after="0" w:line="240" w:lineRule="auto"/>
            </w:pPr>
            <w:r>
              <w:rPr>
                <w:sz w:val="18"/>
              </w:rPr>
              <w:t>24</w:t>
            </w:r>
          </w:p>
        </w:tc>
        <w:tc>
          <w:tcPr>
            <w:tcW w:w="1860" w:type="dxa"/>
            <w:tcMar>
              <w:top w:w="0" w:type="dxa"/>
              <w:bottom w:w="0" w:type="dxa"/>
            </w:tcMar>
            <w:vAlign w:val="center"/>
          </w:tcPr>
          <w:p w:rsidR="00EB6F6A" w:rsidRDefault="00286458">
            <w:pPr>
              <w:keepNext/>
              <w:keepLines/>
              <w:spacing w:after="0" w:line="240" w:lineRule="auto"/>
              <w:jc w:val="right"/>
            </w:pPr>
            <w:r>
              <w:rPr>
                <w:sz w:val="18"/>
              </w:rPr>
              <w:t>8.474.616,32</w:t>
            </w:r>
          </w:p>
        </w:tc>
        <w:tc>
          <w:tcPr>
            <w:tcW w:w="1860" w:type="dxa"/>
            <w:tcMar>
              <w:top w:w="0" w:type="dxa"/>
              <w:bottom w:w="0" w:type="dxa"/>
            </w:tcMar>
            <w:vAlign w:val="center"/>
          </w:tcPr>
          <w:p w:rsidR="00EB6F6A" w:rsidRDefault="00286458">
            <w:pPr>
              <w:keepNext/>
              <w:keepLines/>
              <w:spacing w:after="0" w:line="240" w:lineRule="auto"/>
              <w:jc w:val="right"/>
            </w:pPr>
            <w:r>
              <w:rPr>
                <w:sz w:val="18"/>
              </w:rPr>
              <w:t>10.022.699,13</w:t>
            </w:r>
          </w:p>
        </w:tc>
        <w:tc>
          <w:tcPr>
            <w:tcW w:w="700" w:type="dxa"/>
            <w:tcMar>
              <w:top w:w="0" w:type="dxa"/>
              <w:bottom w:w="0" w:type="dxa"/>
            </w:tcMar>
            <w:vAlign w:val="center"/>
          </w:tcPr>
          <w:p w:rsidR="00EB6F6A" w:rsidRDefault="00286458">
            <w:pPr>
              <w:keepNext/>
              <w:keepLines/>
              <w:spacing w:after="0" w:line="240" w:lineRule="auto"/>
              <w:jc w:val="right"/>
            </w:pPr>
            <w:r>
              <w:rPr>
                <w:sz w:val="18"/>
              </w:rPr>
              <w:t>118,3</w:t>
            </w:r>
          </w:p>
        </w:tc>
      </w:tr>
    </w:tbl>
    <w:p w:rsidR="00EB6F6A" w:rsidRDefault="00EB6F6A">
      <w:pPr>
        <w:spacing w:after="0"/>
      </w:pPr>
    </w:p>
    <w:p w:rsidR="00EB6F6A" w:rsidRDefault="00286458">
      <w:pPr>
        <w:jc w:val="both"/>
      </w:pPr>
      <w:r>
        <w:t>Obveze za nabavu nefinancijske imovine (Šifra 24) na dan 31. prosinca 2025. godine iskazane su u iznosu od 10.022.699 EUR što je za 18,3% više u odnosu na isti datum 2024. godine.</w:t>
      </w:r>
    </w:p>
    <w:p w:rsidR="00EB6F6A" w:rsidRDefault="00286458">
      <w:pPr>
        <w:jc w:val="both"/>
      </w:pPr>
      <w:r>
        <w:t>Navedene obveze obuhvaćaju obveze za nabavu opreme, uređaja, instrumenata, dodatnih ulaganja na građevinskim objektima, obveze na ime komunalnog doprinosa temeljem nagodbe s Gradom Zagrebom i Zagrebačkim Holdingom (441.107 EUR) kao i obveze na ime predujml</w:t>
      </w:r>
      <w:r>
        <w:t xml:space="preserve">jenih ulaganja za HEP- </w:t>
      </w:r>
      <w:proofErr w:type="spellStart"/>
      <w:r>
        <w:t>toplinarstvo</w:t>
      </w:r>
      <w:proofErr w:type="spellEnd"/>
      <w:r>
        <w:t xml:space="preserve"> d.o.o. (4.610.522 EUR) za koja je u tijeku sudski postupak. </w:t>
      </w:r>
    </w:p>
    <w:p w:rsidR="00EB6F6A" w:rsidRDefault="00EB6F6A"/>
    <w:p w:rsidR="00EB6F6A" w:rsidRDefault="00286458">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26</w:t>
            </w:r>
          </w:p>
        </w:tc>
        <w:tc>
          <w:tcPr>
            <w:tcW w:w="3180" w:type="dxa"/>
            <w:tcMar>
              <w:top w:w="0" w:type="dxa"/>
              <w:bottom w:w="0" w:type="dxa"/>
            </w:tcMar>
            <w:vAlign w:val="center"/>
          </w:tcPr>
          <w:p w:rsidR="00EB6F6A" w:rsidRDefault="00286458">
            <w:pPr>
              <w:keepNext/>
              <w:keepLines/>
              <w:spacing w:after="0" w:line="240" w:lineRule="auto"/>
            </w:pPr>
            <w:r>
              <w:rPr>
                <w:sz w:val="18"/>
              </w:rPr>
              <w:t>Obveze za kredite i zajmove (šifre 26X1+26X2)</w:t>
            </w:r>
          </w:p>
        </w:tc>
        <w:tc>
          <w:tcPr>
            <w:tcW w:w="700" w:type="dxa"/>
            <w:tcMar>
              <w:top w:w="0" w:type="dxa"/>
              <w:bottom w:w="0" w:type="dxa"/>
            </w:tcMar>
            <w:vAlign w:val="center"/>
          </w:tcPr>
          <w:p w:rsidR="00EB6F6A" w:rsidRDefault="00286458">
            <w:pPr>
              <w:keepNext/>
              <w:keepLines/>
              <w:spacing w:after="0" w:line="240" w:lineRule="auto"/>
            </w:pPr>
            <w:r>
              <w:rPr>
                <w:sz w:val="18"/>
              </w:rPr>
              <w:t>26</w:t>
            </w:r>
          </w:p>
        </w:tc>
        <w:tc>
          <w:tcPr>
            <w:tcW w:w="1860" w:type="dxa"/>
            <w:tcMar>
              <w:top w:w="0" w:type="dxa"/>
              <w:bottom w:w="0" w:type="dxa"/>
            </w:tcMar>
            <w:vAlign w:val="center"/>
          </w:tcPr>
          <w:p w:rsidR="00EB6F6A" w:rsidRDefault="00286458">
            <w:pPr>
              <w:keepNext/>
              <w:keepLines/>
              <w:spacing w:after="0" w:line="240" w:lineRule="auto"/>
              <w:jc w:val="right"/>
            </w:pPr>
            <w:r>
              <w:rPr>
                <w:sz w:val="18"/>
              </w:rPr>
              <w:t>10.874.732,46</w:t>
            </w:r>
          </w:p>
        </w:tc>
        <w:tc>
          <w:tcPr>
            <w:tcW w:w="1860" w:type="dxa"/>
            <w:tcMar>
              <w:top w:w="0" w:type="dxa"/>
              <w:bottom w:w="0" w:type="dxa"/>
            </w:tcMar>
            <w:vAlign w:val="center"/>
          </w:tcPr>
          <w:p w:rsidR="00EB6F6A" w:rsidRDefault="00286458">
            <w:pPr>
              <w:keepNext/>
              <w:keepLines/>
              <w:spacing w:after="0" w:line="240" w:lineRule="auto"/>
              <w:jc w:val="right"/>
            </w:pPr>
            <w:r>
              <w:rPr>
                <w:sz w:val="18"/>
              </w:rPr>
              <w:t>11.854.997,51</w:t>
            </w:r>
          </w:p>
        </w:tc>
        <w:tc>
          <w:tcPr>
            <w:tcW w:w="700" w:type="dxa"/>
            <w:tcMar>
              <w:top w:w="0" w:type="dxa"/>
              <w:bottom w:w="0" w:type="dxa"/>
            </w:tcMar>
            <w:vAlign w:val="center"/>
          </w:tcPr>
          <w:p w:rsidR="00EB6F6A" w:rsidRDefault="00286458">
            <w:pPr>
              <w:keepNext/>
              <w:keepLines/>
              <w:spacing w:after="0" w:line="240" w:lineRule="auto"/>
              <w:jc w:val="right"/>
            </w:pPr>
            <w:r>
              <w:rPr>
                <w:sz w:val="18"/>
              </w:rPr>
              <w:t>109,0</w:t>
            </w:r>
          </w:p>
        </w:tc>
      </w:tr>
    </w:tbl>
    <w:p w:rsidR="00EB6F6A" w:rsidRDefault="00EB6F6A">
      <w:pPr>
        <w:spacing w:after="0"/>
      </w:pPr>
    </w:p>
    <w:p w:rsidR="00EB6F6A" w:rsidRDefault="00286458">
      <w:pPr>
        <w:jc w:val="both"/>
      </w:pPr>
      <w:r>
        <w:t>Obveze za kredite i zajmove (Šifra 26) na dan 31. prosinca 2025. godine iskazane su u iznosu od 11.854.998 EUR što je za 9,0% više u odnosu na isti datum 2024. godine.</w:t>
      </w:r>
    </w:p>
    <w:p w:rsidR="00EB6F6A" w:rsidRDefault="00286458">
      <w:pPr>
        <w:jc w:val="both"/>
      </w:pPr>
      <w:r>
        <w:t xml:space="preserve">Obveze za kredite i zajmove se odnose na robne kredite za nabavu lijekova (PSL </w:t>
      </w:r>
      <w:proofErr w:type="spellStart"/>
      <w:r>
        <w:t>Zolgensma</w:t>
      </w:r>
      <w:proofErr w:type="spellEnd"/>
      <w:r>
        <w:t xml:space="preserve"> - 6.077.093 EUR)) i nabavu opreme (5.777.905 EUR). Povećanje obveze prvenstveno se odnosi na nabave izvršene putem robnog zajma za medicinsku opremu: CT uređaja SOMATO</w:t>
      </w:r>
      <w:r>
        <w:t xml:space="preserve">M </w:t>
      </w:r>
      <w:proofErr w:type="spellStart"/>
      <w:r>
        <w:t>Drive</w:t>
      </w:r>
      <w:proofErr w:type="spellEnd"/>
      <w:r>
        <w:t xml:space="preserve"> za potrebe Odjela za </w:t>
      </w:r>
      <w:proofErr w:type="spellStart"/>
      <w:r>
        <w:t>kardiotorakalnu</w:t>
      </w:r>
      <w:proofErr w:type="spellEnd"/>
      <w:r>
        <w:t xml:space="preserve"> radiologiju Kliničkog zavoda za dijagnostičku i intervencijsku radiologiju (1.533.250 EUR), integrirane operacijske sale za potrebe Klinike za kirurgiju (1.120.000 EUR) te UZV uređaja sa </w:t>
      </w:r>
      <w:proofErr w:type="spellStart"/>
      <w:r>
        <w:t>videoendoskopskim</w:t>
      </w:r>
      <w:proofErr w:type="spellEnd"/>
      <w:r>
        <w:t xml:space="preserve"> sustav</w:t>
      </w:r>
      <w:r>
        <w:t xml:space="preserve">om za potrebe Zavoda za gastroenterologiju i </w:t>
      </w:r>
      <w:proofErr w:type="spellStart"/>
      <w:r>
        <w:t>hepatologiju</w:t>
      </w:r>
      <w:proofErr w:type="spellEnd"/>
      <w:r>
        <w:t xml:space="preserve"> (579.625 EUR).</w:t>
      </w:r>
    </w:p>
    <w:p w:rsidR="00EB6F6A" w:rsidRDefault="00EB6F6A"/>
    <w:p w:rsidR="00EB6F6A" w:rsidRDefault="00286458">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29</w:t>
            </w:r>
          </w:p>
        </w:tc>
        <w:tc>
          <w:tcPr>
            <w:tcW w:w="3180" w:type="dxa"/>
            <w:tcMar>
              <w:top w:w="0" w:type="dxa"/>
              <w:bottom w:w="0" w:type="dxa"/>
            </w:tcMar>
            <w:vAlign w:val="center"/>
          </w:tcPr>
          <w:p w:rsidR="00EB6F6A" w:rsidRDefault="00286458">
            <w:pPr>
              <w:keepNext/>
              <w:keepLines/>
              <w:spacing w:after="0" w:line="240" w:lineRule="auto"/>
            </w:pPr>
            <w:r>
              <w:rPr>
                <w:sz w:val="18"/>
              </w:rPr>
              <w:t xml:space="preserve">Odgođeno plaćanje rashoda i prihodi budućih razdoblja (pasivna vremenska </w:t>
            </w:r>
            <w:r>
              <w:rPr>
                <w:sz w:val="18"/>
              </w:rPr>
              <w:t>razgraničenja) (šifre 291+292)</w:t>
            </w:r>
          </w:p>
        </w:tc>
        <w:tc>
          <w:tcPr>
            <w:tcW w:w="700" w:type="dxa"/>
            <w:tcMar>
              <w:top w:w="0" w:type="dxa"/>
              <w:bottom w:w="0" w:type="dxa"/>
            </w:tcMar>
            <w:vAlign w:val="center"/>
          </w:tcPr>
          <w:p w:rsidR="00EB6F6A" w:rsidRDefault="00286458">
            <w:pPr>
              <w:keepNext/>
              <w:keepLines/>
              <w:spacing w:after="0" w:line="240" w:lineRule="auto"/>
            </w:pPr>
            <w:r>
              <w:rPr>
                <w:sz w:val="18"/>
              </w:rPr>
              <w:t>29</w:t>
            </w:r>
          </w:p>
        </w:tc>
        <w:tc>
          <w:tcPr>
            <w:tcW w:w="1860" w:type="dxa"/>
            <w:tcMar>
              <w:top w:w="0" w:type="dxa"/>
              <w:bottom w:w="0" w:type="dxa"/>
            </w:tcMar>
            <w:vAlign w:val="center"/>
          </w:tcPr>
          <w:p w:rsidR="00EB6F6A" w:rsidRDefault="00286458">
            <w:pPr>
              <w:keepNext/>
              <w:keepLines/>
              <w:spacing w:after="0" w:line="240" w:lineRule="auto"/>
              <w:jc w:val="right"/>
            </w:pPr>
            <w:r>
              <w:rPr>
                <w:sz w:val="18"/>
              </w:rPr>
              <w:t>583.340,81</w:t>
            </w:r>
          </w:p>
        </w:tc>
        <w:tc>
          <w:tcPr>
            <w:tcW w:w="1860" w:type="dxa"/>
            <w:tcMar>
              <w:top w:w="0" w:type="dxa"/>
              <w:bottom w:w="0" w:type="dxa"/>
            </w:tcMar>
            <w:vAlign w:val="center"/>
          </w:tcPr>
          <w:p w:rsidR="00EB6F6A" w:rsidRDefault="00286458">
            <w:pPr>
              <w:keepNext/>
              <w:keepLines/>
              <w:spacing w:after="0" w:line="240" w:lineRule="auto"/>
              <w:jc w:val="right"/>
            </w:pPr>
            <w:r>
              <w:rPr>
                <w:sz w:val="18"/>
              </w:rPr>
              <w:t>2.887.093,73</w:t>
            </w:r>
          </w:p>
        </w:tc>
        <w:tc>
          <w:tcPr>
            <w:tcW w:w="700" w:type="dxa"/>
            <w:tcMar>
              <w:top w:w="0" w:type="dxa"/>
              <w:bottom w:w="0" w:type="dxa"/>
            </w:tcMar>
            <w:vAlign w:val="center"/>
          </w:tcPr>
          <w:p w:rsidR="00EB6F6A" w:rsidRDefault="00286458">
            <w:pPr>
              <w:keepNext/>
              <w:keepLines/>
              <w:spacing w:after="0" w:line="240" w:lineRule="auto"/>
              <w:jc w:val="right"/>
            </w:pPr>
            <w:r>
              <w:rPr>
                <w:sz w:val="18"/>
              </w:rPr>
              <w:t>494,9</w:t>
            </w:r>
          </w:p>
        </w:tc>
      </w:tr>
    </w:tbl>
    <w:p w:rsidR="00EB6F6A" w:rsidRDefault="00EB6F6A">
      <w:pPr>
        <w:spacing w:after="0"/>
      </w:pPr>
    </w:p>
    <w:p w:rsidR="00EB6F6A" w:rsidRDefault="00286458">
      <w:r>
        <w:lastRenderedPageBreak/>
        <w:t>Odgođeno plaćanje rashoda i prihodi budućih razdoblja (Šifra 29) na dan 31.12.2025. godine iskazano je u iznosu od 2.887.094 EUR što je višestruko povećanje u odnosu na isti datum 2024. godine.</w:t>
      </w:r>
    </w:p>
    <w:p w:rsidR="00EB6F6A" w:rsidRDefault="00286458">
      <w:r>
        <w:t>Odgođeno plaćanje rashoda odnosi se na odbijene račune za uslu</w:t>
      </w:r>
      <w:r>
        <w:t>ge servisnog održavanja medicinsko-tehničke opreme i uređaja jer nisu u skladu sa sklopljenim ugovorom niti je zaprimljena dokumentacija iz koje je vidljivo restrukturiranje tvrtke i pravno sljedništvo, iako je usluga izvršena. </w:t>
      </w:r>
    </w:p>
    <w:p w:rsidR="00EB6F6A" w:rsidRDefault="00EB6F6A"/>
    <w:p w:rsidR="00EB6F6A" w:rsidRDefault="00286458">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w:t>
            </w:r>
            <w:r>
              <w:rPr>
                <w:b/>
                <w:sz w:val="18"/>
              </w:rPr>
              <w:t xml:space="preserve">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922</w:t>
            </w:r>
          </w:p>
        </w:tc>
        <w:tc>
          <w:tcPr>
            <w:tcW w:w="3180" w:type="dxa"/>
            <w:tcMar>
              <w:top w:w="0" w:type="dxa"/>
              <w:bottom w:w="0" w:type="dxa"/>
            </w:tcMar>
            <w:vAlign w:val="center"/>
          </w:tcPr>
          <w:p w:rsidR="00EB6F6A" w:rsidRDefault="00286458">
            <w:pPr>
              <w:keepNext/>
              <w:keepLines/>
              <w:spacing w:after="0" w:line="240" w:lineRule="auto"/>
            </w:pPr>
            <w:r>
              <w:rPr>
                <w:sz w:val="18"/>
              </w:rPr>
              <w:t>Rezultat - višak/manjak (šifre 9221-9222)</w:t>
            </w:r>
          </w:p>
        </w:tc>
        <w:tc>
          <w:tcPr>
            <w:tcW w:w="700" w:type="dxa"/>
            <w:tcMar>
              <w:top w:w="0" w:type="dxa"/>
              <w:bottom w:w="0" w:type="dxa"/>
            </w:tcMar>
            <w:vAlign w:val="center"/>
          </w:tcPr>
          <w:p w:rsidR="00EB6F6A" w:rsidRDefault="00286458">
            <w:pPr>
              <w:keepNext/>
              <w:keepLines/>
              <w:spacing w:after="0" w:line="240" w:lineRule="auto"/>
            </w:pPr>
            <w:r>
              <w:rPr>
                <w:sz w:val="18"/>
              </w:rPr>
              <w:t>922</w:t>
            </w:r>
          </w:p>
        </w:tc>
        <w:tc>
          <w:tcPr>
            <w:tcW w:w="1860" w:type="dxa"/>
            <w:tcMar>
              <w:top w:w="0" w:type="dxa"/>
              <w:bottom w:w="0" w:type="dxa"/>
            </w:tcMar>
            <w:vAlign w:val="center"/>
          </w:tcPr>
          <w:p w:rsidR="00EB6F6A" w:rsidRDefault="00286458">
            <w:pPr>
              <w:keepNext/>
              <w:keepLines/>
              <w:spacing w:after="0" w:line="240" w:lineRule="auto"/>
              <w:jc w:val="right"/>
            </w:pPr>
            <w:r>
              <w:rPr>
                <w:sz w:val="18"/>
              </w:rPr>
              <w:t>-259.995.510,64</w:t>
            </w:r>
          </w:p>
        </w:tc>
        <w:tc>
          <w:tcPr>
            <w:tcW w:w="1860" w:type="dxa"/>
            <w:tcMar>
              <w:top w:w="0" w:type="dxa"/>
              <w:bottom w:w="0" w:type="dxa"/>
            </w:tcMar>
            <w:vAlign w:val="center"/>
          </w:tcPr>
          <w:p w:rsidR="00EB6F6A" w:rsidRDefault="00286458">
            <w:pPr>
              <w:keepNext/>
              <w:keepLines/>
              <w:spacing w:after="0" w:line="240" w:lineRule="auto"/>
              <w:jc w:val="right"/>
            </w:pPr>
            <w:r>
              <w:rPr>
                <w:sz w:val="18"/>
              </w:rPr>
              <w:t>-286.214.680,04</w:t>
            </w:r>
          </w:p>
        </w:tc>
        <w:tc>
          <w:tcPr>
            <w:tcW w:w="700" w:type="dxa"/>
            <w:tcMar>
              <w:top w:w="0" w:type="dxa"/>
              <w:bottom w:w="0" w:type="dxa"/>
            </w:tcMar>
            <w:vAlign w:val="center"/>
          </w:tcPr>
          <w:p w:rsidR="00EB6F6A" w:rsidRDefault="00286458">
            <w:pPr>
              <w:keepNext/>
              <w:keepLines/>
              <w:spacing w:after="0" w:line="240" w:lineRule="auto"/>
              <w:jc w:val="right"/>
            </w:pPr>
            <w:r>
              <w:rPr>
                <w:sz w:val="18"/>
              </w:rPr>
              <w:t>110,1</w:t>
            </w:r>
          </w:p>
        </w:tc>
      </w:tr>
    </w:tbl>
    <w:p w:rsidR="00EB6F6A" w:rsidRDefault="00EB6F6A">
      <w:pPr>
        <w:spacing w:after="0"/>
      </w:pPr>
    </w:p>
    <w:p w:rsidR="00EB6F6A" w:rsidRDefault="00286458">
      <w:pPr>
        <w:jc w:val="both"/>
      </w:pPr>
      <w:r>
        <w:t>Podaci u bilanci iskazani su nakon obvezne korekcije rezultata sukladno članku 215. Pravilnika o proračunskom računovodstvu i Računskom planu te je iskazan manjak prihoda poslovanja u iznosu od 272.446.867 EUR, manjak prihoda od nefinancijske imovine u izn</w:t>
      </w:r>
      <w:r>
        <w:t>osu od 15.912.626 EUR i višak prihoda od financijske imovine u iznosu od 2.144.813 EUR. </w:t>
      </w:r>
    </w:p>
    <w:p w:rsidR="00EB6F6A" w:rsidRDefault="00286458">
      <w:pPr>
        <w:jc w:val="both"/>
      </w:pPr>
      <w:r>
        <w:t>Višak ili manjak prihoda od redovnog poslovanja rezultat je sučeljavanja prihoda i rashoda od poslovanja u jednoj proračunskoj godini. Prihodi poslovanja u KBC-u Zagre</w:t>
      </w:r>
      <w:r>
        <w:t>b su prihodi iz Državnog proračuna i HZZO-a za financiranje redovne djelatnosti na temelju ugovornih obveza, prihodi po posebnim propisima – dopunsko zdravstveno osiguranje i participacije te vlastiti prihodi od pruženih zdravstvenih i nezdravstvenih uslug</w:t>
      </w:r>
      <w:r>
        <w:t>a. Rashodi poslovanja su rashodi za zaposlene, materijalni rashodi, financijski rashodi, naknade građanima i kućanstvima i ostali rashodi.</w:t>
      </w:r>
    </w:p>
    <w:p w:rsidR="00EB6F6A" w:rsidRDefault="00286458">
      <w:pPr>
        <w:jc w:val="both"/>
      </w:pPr>
      <w:r>
        <w:t>Višak ili manjak prihoda od nefinancijske imovine rezultat je sučeljavanja prihoda i rashoda od nefinancijske imovine</w:t>
      </w:r>
      <w:r>
        <w:t xml:space="preserve"> u jednoj proračunskoj godini. Prihodi od nefinancijske imovine u KBC-u Zagreb su prihodi od prodaje stanova na kojima postoji stanarsko pravo te prihodi od prodaje dugotrajne imovine. Rashodi za nabavu nefinancijske imovine su rashodi za izgradnju građevi</w:t>
      </w:r>
      <w:r>
        <w:t>nskih objekata i dodatna ulaganja u iste te nabavu uređaja i opreme.</w:t>
      </w:r>
    </w:p>
    <w:p w:rsidR="00EB6F6A" w:rsidRDefault="00286458">
      <w:pPr>
        <w:jc w:val="both"/>
      </w:pPr>
      <w:r>
        <w:t>Višak ili manjak primitaka od financijske imovine rezultat je sučeljavanja primitaka i izdataka od financijske imovine u jednoj proračunskoj godini. Primici od financijske imovine su prim</w:t>
      </w:r>
      <w:r>
        <w:t>ici od zaduživanja (robni krediti, zajmovi). Izdaci od financijske imovine su otplate glavnica primljenih kredita i zajmova. </w:t>
      </w:r>
    </w:p>
    <w:p w:rsidR="00EB6F6A" w:rsidRDefault="00EB6F6A"/>
    <w:p w:rsidR="00EB6F6A" w:rsidRDefault="00286458">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991</w:t>
            </w:r>
          </w:p>
        </w:tc>
        <w:tc>
          <w:tcPr>
            <w:tcW w:w="3180" w:type="dxa"/>
            <w:tcMar>
              <w:top w:w="0" w:type="dxa"/>
              <w:bottom w:w="0" w:type="dxa"/>
            </w:tcMar>
            <w:vAlign w:val="center"/>
          </w:tcPr>
          <w:p w:rsidR="00EB6F6A" w:rsidRDefault="00286458">
            <w:pPr>
              <w:keepNext/>
              <w:keepLines/>
              <w:spacing w:after="0" w:line="240" w:lineRule="auto"/>
            </w:pPr>
            <w:proofErr w:type="spellStart"/>
            <w:r>
              <w:rPr>
                <w:sz w:val="18"/>
              </w:rPr>
              <w:t>Izvanbilančni</w:t>
            </w:r>
            <w:proofErr w:type="spellEnd"/>
            <w:r>
              <w:rPr>
                <w:sz w:val="18"/>
              </w:rPr>
              <w:t xml:space="preserve"> zapisi - </w:t>
            </w:r>
            <w:r>
              <w:rPr>
                <w:sz w:val="18"/>
              </w:rPr>
              <w:t>aktiva (šifra 996)</w:t>
            </w:r>
          </w:p>
        </w:tc>
        <w:tc>
          <w:tcPr>
            <w:tcW w:w="700" w:type="dxa"/>
            <w:tcMar>
              <w:top w:w="0" w:type="dxa"/>
              <w:bottom w:w="0" w:type="dxa"/>
            </w:tcMar>
            <w:vAlign w:val="center"/>
          </w:tcPr>
          <w:p w:rsidR="00EB6F6A" w:rsidRDefault="00286458">
            <w:pPr>
              <w:keepNext/>
              <w:keepLines/>
              <w:spacing w:after="0" w:line="240" w:lineRule="auto"/>
            </w:pPr>
            <w:r>
              <w:rPr>
                <w:sz w:val="18"/>
              </w:rPr>
              <w:t>991</w:t>
            </w:r>
          </w:p>
        </w:tc>
        <w:tc>
          <w:tcPr>
            <w:tcW w:w="1860" w:type="dxa"/>
            <w:tcMar>
              <w:top w:w="0" w:type="dxa"/>
              <w:bottom w:w="0" w:type="dxa"/>
            </w:tcMar>
            <w:vAlign w:val="center"/>
          </w:tcPr>
          <w:p w:rsidR="00EB6F6A" w:rsidRDefault="00286458">
            <w:pPr>
              <w:keepNext/>
              <w:keepLines/>
              <w:spacing w:after="0" w:line="240" w:lineRule="auto"/>
              <w:jc w:val="right"/>
            </w:pPr>
            <w:r>
              <w:rPr>
                <w:sz w:val="18"/>
              </w:rPr>
              <w:t>123.707.086,35</w:t>
            </w:r>
          </w:p>
        </w:tc>
        <w:tc>
          <w:tcPr>
            <w:tcW w:w="1860" w:type="dxa"/>
            <w:tcMar>
              <w:top w:w="0" w:type="dxa"/>
              <w:bottom w:w="0" w:type="dxa"/>
            </w:tcMar>
            <w:vAlign w:val="center"/>
          </w:tcPr>
          <w:p w:rsidR="00EB6F6A" w:rsidRDefault="00286458">
            <w:pPr>
              <w:keepNext/>
              <w:keepLines/>
              <w:spacing w:after="0" w:line="240" w:lineRule="auto"/>
              <w:jc w:val="right"/>
            </w:pPr>
            <w:r>
              <w:rPr>
                <w:sz w:val="18"/>
              </w:rPr>
              <w:t>207.155.710,72</w:t>
            </w:r>
          </w:p>
        </w:tc>
        <w:tc>
          <w:tcPr>
            <w:tcW w:w="700" w:type="dxa"/>
            <w:tcMar>
              <w:top w:w="0" w:type="dxa"/>
              <w:bottom w:w="0" w:type="dxa"/>
            </w:tcMar>
            <w:vAlign w:val="center"/>
          </w:tcPr>
          <w:p w:rsidR="00EB6F6A" w:rsidRDefault="00286458">
            <w:pPr>
              <w:keepNext/>
              <w:keepLines/>
              <w:spacing w:after="0" w:line="240" w:lineRule="auto"/>
              <w:jc w:val="right"/>
            </w:pPr>
            <w:r>
              <w:rPr>
                <w:sz w:val="18"/>
              </w:rPr>
              <w:t>167,5</w:t>
            </w:r>
          </w:p>
        </w:tc>
      </w:tr>
    </w:tbl>
    <w:p w:rsidR="00EB6F6A" w:rsidRDefault="00EB6F6A">
      <w:pPr>
        <w:spacing w:after="0"/>
      </w:pPr>
    </w:p>
    <w:p w:rsidR="00EB6F6A" w:rsidRDefault="00286458">
      <w:pPr>
        <w:jc w:val="both"/>
      </w:pPr>
      <w:proofErr w:type="spellStart"/>
      <w:r>
        <w:lastRenderedPageBreak/>
        <w:t>Izvanbilančni</w:t>
      </w:r>
      <w:proofErr w:type="spellEnd"/>
      <w:r>
        <w:t xml:space="preserve"> zapisi (Šifre 991/996) na dan 31. prosinca 2025. godine iskazani su u iznosu od 207.155.711 EUR što je za 67,5% više u odnosu na isti datum 2024. godine.</w:t>
      </w:r>
    </w:p>
    <w:p w:rsidR="00EB6F6A" w:rsidRDefault="00286458">
      <w:pPr>
        <w:jc w:val="both"/>
      </w:pPr>
      <w:r>
        <w:t xml:space="preserve">Povećanje se odnosi na evidentiranje potraživanja po ugovorima o dodijeljenim bespovratnim sredstvima iz EU fondova u iznosu od 71.306.528 EUR sukladno novom Pravilniku o proračunskom računovodstvu i računskom planu. Ostali </w:t>
      </w:r>
      <w:proofErr w:type="spellStart"/>
      <w:r>
        <w:t>izvanbilančni</w:t>
      </w:r>
      <w:proofErr w:type="spellEnd"/>
      <w:r>
        <w:t xml:space="preserve"> zapisi odnose se n</w:t>
      </w:r>
      <w:r>
        <w:t>a potencijalne obveze po sudskim sporovima (71.306.528 EUR), bankarske garancije i zadužnice (34.628.000 EUR) te tuđu imovinu dobivenu na korištenje (17.916.984 EUR).</w:t>
      </w:r>
    </w:p>
    <w:p w:rsidR="00EB6F6A" w:rsidRDefault="00EB6F6A"/>
    <w:p w:rsidR="00EB6F6A" w:rsidRDefault="00286458">
      <w:pPr>
        <w:keepNext/>
        <w:spacing w:line="240" w:lineRule="auto"/>
        <w:jc w:val="center"/>
      </w:pPr>
      <w:r>
        <w:rPr>
          <w:b/>
          <w:sz w:val="28"/>
        </w:rPr>
        <w:t>Izvještaj o rashodima prema funkcijskoj klasifikaciji</w:t>
      </w:r>
    </w:p>
    <w:p w:rsidR="00EB6F6A" w:rsidRDefault="00286458">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0732</w:t>
            </w:r>
          </w:p>
        </w:tc>
        <w:tc>
          <w:tcPr>
            <w:tcW w:w="3180" w:type="dxa"/>
            <w:tcMar>
              <w:top w:w="0" w:type="dxa"/>
              <w:bottom w:w="0" w:type="dxa"/>
            </w:tcMar>
            <w:vAlign w:val="center"/>
          </w:tcPr>
          <w:p w:rsidR="00EB6F6A" w:rsidRDefault="00286458">
            <w:pPr>
              <w:keepNext/>
              <w:keepLines/>
              <w:spacing w:after="0" w:line="240" w:lineRule="auto"/>
            </w:pPr>
            <w:r>
              <w:rPr>
                <w:sz w:val="18"/>
              </w:rPr>
              <w:t>Usluge specijalističkih bolnica</w:t>
            </w:r>
          </w:p>
        </w:tc>
        <w:tc>
          <w:tcPr>
            <w:tcW w:w="700" w:type="dxa"/>
            <w:tcMar>
              <w:top w:w="0" w:type="dxa"/>
              <w:bottom w:w="0" w:type="dxa"/>
            </w:tcMar>
            <w:vAlign w:val="center"/>
          </w:tcPr>
          <w:p w:rsidR="00EB6F6A" w:rsidRDefault="00286458">
            <w:pPr>
              <w:keepNext/>
              <w:keepLines/>
              <w:spacing w:after="0" w:line="240" w:lineRule="auto"/>
            </w:pPr>
            <w:r>
              <w:rPr>
                <w:sz w:val="18"/>
              </w:rPr>
              <w:t>0732</w:t>
            </w:r>
          </w:p>
        </w:tc>
        <w:tc>
          <w:tcPr>
            <w:tcW w:w="1860" w:type="dxa"/>
            <w:tcMar>
              <w:top w:w="0" w:type="dxa"/>
              <w:bottom w:w="0" w:type="dxa"/>
            </w:tcMar>
            <w:vAlign w:val="center"/>
          </w:tcPr>
          <w:p w:rsidR="00EB6F6A" w:rsidRDefault="00286458">
            <w:pPr>
              <w:keepNext/>
              <w:keepLines/>
              <w:spacing w:after="0" w:line="240" w:lineRule="auto"/>
              <w:jc w:val="right"/>
            </w:pPr>
            <w:r>
              <w:rPr>
                <w:sz w:val="18"/>
              </w:rPr>
              <w:t>709.709.843,36</w:t>
            </w:r>
          </w:p>
        </w:tc>
        <w:tc>
          <w:tcPr>
            <w:tcW w:w="1860" w:type="dxa"/>
            <w:tcMar>
              <w:top w:w="0" w:type="dxa"/>
              <w:bottom w:w="0" w:type="dxa"/>
            </w:tcMar>
            <w:vAlign w:val="center"/>
          </w:tcPr>
          <w:p w:rsidR="00EB6F6A" w:rsidRDefault="00286458">
            <w:pPr>
              <w:keepNext/>
              <w:keepLines/>
              <w:spacing w:after="0" w:line="240" w:lineRule="auto"/>
              <w:jc w:val="right"/>
            </w:pPr>
            <w:r>
              <w:rPr>
                <w:sz w:val="18"/>
              </w:rPr>
              <w:t>757.906.992,14</w:t>
            </w:r>
          </w:p>
        </w:tc>
        <w:tc>
          <w:tcPr>
            <w:tcW w:w="700" w:type="dxa"/>
            <w:tcMar>
              <w:top w:w="0" w:type="dxa"/>
              <w:bottom w:w="0" w:type="dxa"/>
            </w:tcMar>
            <w:vAlign w:val="center"/>
          </w:tcPr>
          <w:p w:rsidR="00EB6F6A" w:rsidRDefault="00286458">
            <w:pPr>
              <w:keepNext/>
              <w:keepLines/>
              <w:spacing w:after="0" w:line="240" w:lineRule="auto"/>
              <w:jc w:val="right"/>
            </w:pPr>
            <w:r>
              <w:rPr>
                <w:sz w:val="18"/>
              </w:rPr>
              <w:t>106,8</w:t>
            </w:r>
          </w:p>
        </w:tc>
      </w:tr>
    </w:tbl>
    <w:p w:rsidR="00EB6F6A" w:rsidRDefault="00EB6F6A">
      <w:pPr>
        <w:spacing w:after="0"/>
      </w:pPr>
    </w:p>
    <w:p w:rsidR="00EB6F6A" w:rsidRDefault="00286458">
      <w:pPr>
        <w:jc w:val="both"/>
      </w:pPr>
      <w:r>
        <w:t>KBC Zagreb obavlja svoju djelatnost u okviru funkcijske klasifikacije Usluge specijalističkih bolnica te je u razdoblju od 1. siječnja do 31. prosinca 2025. godine ostvario ukupno rashoda u iznosu od 757.906.992 EUR što je za 6,8% više u odnosu na isto raz</w:t>
      </w:r>
      <w:r>
        <w:t>doblje prethodne godine, a rezultat je više ostvarenih rashoda poslovanja.</w:t>
      </w:r>
    </w:p>
    <w:p w:rsidR="00EB6F6A" w:rsidRDefault="00EB6F6A"/>
    <w:p w:rsidR="00EB6F6A" w:rsidRDefault="00286458">
      <w:pPr>
        <w:keepNext/>
        <w:spacing w:line="240" w:lineRule="auto"/>
        <w:jc w:val="center"/>
      </w:pPr>
      <w:r>
        <w:rPr>
          <w:b/>
          <w:sz w:val="28"/>
        </w:rPr>
        <w:t>Promjene u vrijednosti i obujmu imovine i obveza</w:t>
      </w:r>
    </w:p>
    <w:p w:rsidR="00EB6F6A" w:rsidRDefault="00286458">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91511</w:t>
            </w:r>
          </w:p>
        </w:tc>
        <w:tc>
          <w:tcPr>
            <w:tcW w:w="3180" w:type="dxa"/>
            <w:tcMar>
              <w:top w:w="0" w:type="dxa"/>
              <w:bottom w:w="0" w:type="dxa"/>
            </w:tcMar>
            <w:vAlign w:val="center"/>
          </w:tcPr>
          <w:p w:rsidR="00EB6F6A" w:rsidRDefault="00286458">
            <w:pPr>
              <w:keepNext/>
              <w:keepLines/>
              <w:spacing w:after="0" w:line="240" w:lineRule="auto"/>
            </w:pPr>
            <w:r>
              <w:rPr>
                <w:sz w:val="18"/>
              </w:rPr>
              <w:t>Promjene u vrijednosti imovine</w:t>
            </w:r>
            <w:r>
              <w:rPr>
                <w:sz w:val="18"/>
              </w:rPr>
              <w:t xml:space="preserve"> (šifre P001+P008)</w:t>
            </w:r>
          </w:p>
        </w:tc>
        <w:tc>
          <w:tcPr>
            <w:tcW w:w="700" w:type="dxa"/>
            <w:tcMar>
              <w:top w:w="0" w:type="dxa"/>
              <w:bottom w:w="0" w:type="dxa"/>
            </w:tcMar>
            <w:vAlign w:val="center"/>
          </w:tcPr>
          <w:p w:rsidR="00EB6F6A" w:rsidRDefault="00286458">
            <w:pPr>
              <w:keepNext/>
              <w:keepLines/>
              <w:spacing w:after="0" w:line="240" w:lineRule="auto"/>
            </w:pPr>
            <w:r>
              <w:rPr>
                <w:sz w:val="18"/>
              </w:rPr>
              <w:t>91511</w:t>
            </w:r>
          </w:p>
        </w:tc>
        <w:tc>
          <w:tcPr>
            <w:tcW w:w="1860" w:type="dxa"/>
            <w:tcMar>
              <w:top w:w="0" w:type="dxa"/>
              <w:bottom w:w="0" w:type="dxa"/>
            </w:tcMar>
            <w:vAlign w:val="center"/>
          </w:tcPr>
          <w:p w:rsidR="00EB6F6A" w:rsidRDefault="00286458">
            <w:pPr>
              <w:keepNext/>
              <w:keepLines/>
              <w:spacing w:after="0" w:line="240" w:lineRule="auto"/>
              <w:jc w:val="right"/>
            </w:pPr>
            <w:r>
              <w:rPr>
                <w:sz w:val="18"/>
              </w:rPr>
              <w:t>0,00</w:t>
            </w:r>
          </w:p>
        </w:tc>
        <w:tc>
          <w:tcPr>
            <w:tcW w:w="1860" w:type="dxa"/>
            <w:tcMar>
              <w:top w:w="0" w:type="dxa"/>
              <w:bottom w:w="0" w:type="dxa"/>
            </w:tcMar>
            <w:vAlign w:val="center"/>
          </w:tcPr>
          <w:p w:rsidR="00EB6F6A" w:rsidRDefault="00286458">
            <w:pPr>
              <w:keepNext/>
              <w:keepLines/>
              <w:spacing w:after="0" w:line="240" w:lineRule="auto"/>
              <w:jc w:val="right"/>
            </w:pPr>
            <w:r>
              <w:rPr>
                <w:sz w:val="18"/>
              </w:rPr>
              <w:t>14.914.188,76</w:t>
            </w:r>
          </w:p>
        </w:tc>
        <w:tc>
          <w:tcPr>
            <w:tcW w:w="700" w:type="dxa"/>
            <w:tcMar>
              <w:top w:w="0" w:type="dxa"/>
              <w:bottom w:w="0" w:type="dxa"/>
            </w:tcMar>
            <w:vAlign w:val="center"/>
          </w:tcPr>
          <w:p w:rsidR="00EB6F6A" w:rsidRDefault="00286458">
            <w:pPr>
              <w:keepNext/>
              <w:keepLines/>
              <w:spacing w:after="0" w:line="240" w:lineRule="auto"/>
              <w:jc w:val="right"/>
            </w:pPr>
            <w:r>
              <w:rPr>
                <w:sz w:val="18"/>
              </w:rPr>
              <w:t>-</w:t>
            </w:r>
          </w:p>
        </w:tc>
      </w:tr>
    </w:tbl>
    <w:p w:rsidR="00EB6F6A" w:rsidRDefault="00EB6F6A">
      <w:pPr>
        <w:spacing w:after="0"/>
      </w:pPr>
    </w:p>
    <w:p w:rsidR="00EB6F6A" w:rsidRDefault="00286458">
      <w:pPr>
        <w:jc w:val="both"/>
      </w:pPr>
      <w:r>
        <w:t>Promjene u vrijednosti imovine (Račun 91511 – Šifra P003) za razdoblje od 1. siječnja do 31. prosinca 2025. godine iskazane su na poziciji smanjenja u iznosu od 14.914.189 EUR.</w:t>
      </w:r>
    </w:p>
    <w:p w:rsidR="00EB6F6A" w:rsidRDefault="00286458">
      <w:pPr>
        <w:jc w:val="both"/>
      </w:pPr>
      <w:r>
        <w:t>Smanjenje se odnosi na ispravak vrijednosti proizvedene dugotrajne imovine (14.385.437 EUR) sukladno članku 192. novog Pravilnika o proračunskom računovodstvu i računskom planu te otpis proizvedene dugotrajne imovine (sadašnje vrijednosti 528.752 EUR) koja</w:t>
      </w:r>
      <w:r>
        <w:t xml:space="preserve"> nije za upotrebu.</w:t>
      </w:r>
    </w:p>
    <w:p w:rsidR="00EB6F6A" w:rsidRDefault="00EB6F6A"/>
    <w:p w:rsidR="00EB6F6A" w:rsidRDefault="00286458">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91512</w:t>
            </w:r>
          </w:p>
        </w:tc>
        <w:tc>
          <w:tcPr>
            <w:tcW w:w="3180" w:type="dxa"/>
            <w:tcMar>
              <w:top w:w="0" w:type="dxa"/>
              <w:bottom w:w="0" w:type="dxa"/>
            </w:tcMar>
            <w:vAlign w:val="center"/>
          </w:tcPr>
          <w:p w:rsidR="00EB6F6A" w:rsidRDefault="00286458">
            <w:pPr>
              <w:keepNext/>
              <w:keepLines/>
              <w:spacing w:after="0" w:line="240" w:lineRule="auto"/>
            </w:pPr>
            <w:r>
              <w:rPr>
                <w:sz w:val="18"/>
              </w:rPr>
              <w:t>Promjene u obujmu imovine (šifre P016+P023)</w:t>
            </w:r>
          </w:p>
        </w:tc>
        <w:tc>
          <w:tcPr>
            <w:tcW w:w="700" w:type="dxa"/>
            <w:tcMar>
              <w:top w:w="0" w:type="dxa"/>
              <w:bottom w:w="0" w:type="dxa"/>
            </w:tcMar>
            <w:vAlign w:val="center"/>
          </w:tcPr>
          <w:p w:rsidR="00EB6F6A" w:rsidRDefault="00286458">
            <w:pPr>
              <w:keepNext/>
              <w:keepLines/>
              <w:spacing w:after="0" w:line="240" w:lineRule="auto"/>
            </w:pPr>
            <w:r>
              <w:rPr>
                <w:sz w:val="18"/>
              </w:rPr>
              <w:t>91512</w:t>
            </w:r>
          </w:p>
        </w:tc>
        <w:tc>
          <w:tcPr>
            <w:tcW w:w="1860" w:type="dxa"/>
            <w:tcMar>
              <w:top w:w="0" w:type="dxa"/>
              <w:bottom w:w="0" w:type="dxa"/>
            </w:tcMar>
            <w:vAlign w:val="center"/>
          </w:tcPr>
          <w:p w:rsidR="00EB6F6A" w:rsidRDefault="00286458">
            <w:pPr>
              <w:keepNext/>
              <w:keepLines/>
              <w:spacing w:after="0" w:line="240" w:lineRule="auto"/>
              <w:jc w:val="right"/>
            </w:pPr>
            <w:r>
              <w:rPr>
                <w:sz w:val="18"/>
              </w:rPr>
              <w:t>992.712,16</w:t>
            </w:r>
          </w:p>
        </w:tc>
        <w:tc>
          <w:tcPr>
            <w:tcW w:w="1860" w:type="dxa"/>
            <w:tcMar>
              <w:top w:w="0" w:type="dxa"/>
              <w:bottom w:w="0" w:type="dxa"/>
            </w:tcMar>
            <w:vAlign w:val="center"/>
          </w:tcPr>
          <w:p w:rsidR="00EB6F6A" w:rsidRDefault="00286458">
            <w:pPr>
              <w:keepNext/>
              <w:keepLines/>
              <w:spacing w:after="0" w:line="240" w:lineRule="auto"/>
              <w:jc w:val="right"/>
            </w:pPr>
            <w:r>
              <w:rPr>
                <w:sz w:val="18"/>
              </w:rPr>
              <w:t>0,00</w:t>
            </w:r>
          </w:p>
        </w:tc>
        <w:tc>
          <w:tcPr>
            <w:tcW w:w="700" w:type="dxa"/>
            <w:tcMar>
              <w:top w:w="0" w:type="dxa"/>
              <w:bottom w:w="0" w:type="dxa"/>
            </w:tcMar>
            <w:vAlign w:val="center"/>
          </w:tcPr>
          <w:p w:rsidR="00EB6F6A" w:rsidRDefault="00286458">
            <w:pPr>
              <w:keepNext/>
              <w:keepLines/>
              <w:spacing w:after="0" w:line="240" w:lineRule="auto"/>
              <w:jc w:val="right"/>
            </w:pPr>
            <w:r>
              <w:rPr>
                <w:sz w:val="18"/>
              </w:rPr>
              <w:t>0</w:t>
            </w:r>
          </w:p>
        </w:tc>
      </w:tr>
    </w:tbl>
    <w:p w:rsidR="00EB6F6A" w:rsidRDefault="00EB6F6A">
      <w:pPr>
        <w:spacing w:after="0"/>
      </w:pPr>
    </w:p>
    <w:p w:rsidR="00EB6F6A" w:rsidRDefault="00286458">
      <w:pPr>
        <w:jc w:val="both"/>
      </w:pPr>
      <w:r>
        <w:t>Promjene u obujmu imovine (Račun 91512 – Šifra P018) za razdoblje od 1. siječnja do 31. prosinca 2025. godine iskazana na poziciji povećanja u iznosu od 992.712 EUR. Promjena se odnosi na povećanje proizvedene dugotrajne imovine zbog evidentiranja 9 stanov</w:t>
      </w:r>
      <w:r>
        <w:t>a u vlasništvu KBC-a Zagreb u knjigovodstvene evidencije.</w:t>
      </w:r>
    </w:p>
    <w:p w:rsidR="00EB6F6A" w:rsidRDefault="00EB6F6A"/>
    <w:p w:rsidR="00EB6F6A" w:rsidRDefault="00286458">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286458">
            <w:pPr>
              <w:keepNext/>
              <w:keepLines/>
              <w:spacing w:after="0" w:line="240" w:lineRule="auto"/>
            </w:pPr>
            <w:r>
              <w:rPr>
                <w:sz w:val="18"/>
              </w:rPr>
              <w:t>91522</w:t>
            </w:r>
          </w:p>
        </w:tc>
        <w:tc>
          <w:tcPr>
            <w:tcW w:w="3180" w:type="dxa"/>
            <w:tcMar>
              <w:top w:w="0" w:type="dxa"/>
              <w:bottom w:w="0" w:type="dxa"/>
            </w:tcMar>
            <w:vAlign w:val="center"/>
          </w:tcPr>
          <w:p w:rsidR="00EB6F6A" w:rsidRDefault="00286458">
            <w:pPr>
              <w:keepNext/>
              <w:keepLines/>
              <w:spacing w:after="0" w:line="240" w:lineRule="auto"/>
            </w:pPr>
            <w:r>
              <w:rPr>
                <w:sz w:val="18"/>
              </w:rPr>
              <w:t>Promjene u obujmu obveza (šifre P035 do P038)</w:t>
            </w:r>
          </w:p>
        </w:tc>
        <w:tc>
          <w:tcPr>
            <w:tcW w:w="700" w:type="dxa"/>
            <w:tcMar>
              <w:top w:w="0" w:type="dxa"/>
              <w:bottom w:w="0" w:type="dxa"/>
            </w:tcMar>
            <w:vAlign w:val="center"/>
          </w:tcPr>
          <w:p w:rsidR="00EB6F6A" w:rsidRDefault="00286458">
            <w:pPr>
              <w:keepNext/>
              <w:keepLines/>
              <w:spacing w:after="0" w:line="240" w:lineRule="auto"/>
            </w:pPr>
            <w:r>
              <w:rPr>
                <w:sz w:val="18"/>
              </w:rPr>
              <w:t>91522</w:t>
            </w:r>
          </w:p>
        </w:tc>
        <w:tc>
          <w:tcPr>
            <w:tcW w:w="1860" w:type="dxa"/>
            <w:tcMar>
              <w:top w:w="0" w:type="dxa"/>
              <w:bottom w:w="0" w:type="dxa"/>
            </w:tcMar>
            <w:vAlign w:val="center"/>
          </w:tcPr>
          <w:p w:rsidR="00EB6F6A" w:rsidRDefault="00286458">
            <w:pPr>
              <w:keepNext/>
              <w:keepLines/>
              <w:spacing w:after="0" w:line="240" w:lineRule="auto"/>
              <w:jc w:val="right"/>
            </w:pPr>
            <w:r>
              <w:rPr>
                <w:sz w:val="18"/>
              </w:rPr>
              <w:t>10.652,24</w:t>
            </w:r>
          </w:p>
        </w:tc>
        <w:tc>
          <w:tcPr>
            <w:tcW w:w="1860" w:type="dxa"/>
            <w:tcMar>
              <w:top w:w="0" w:type="dxa"/>
              <w:bottom w:w="0" w:type="dxa"/>
            </w:tcMar>
            <w:vAlign w:val="center"/>
          </w:tcPr>
          <w:p w:rsidR="00EB6F6A" w:rsidRDefault="00286458">
            <w:pPr>
              <w:keepNext/>
              <w:keepLines/>
              <w:spacing w:after="0" w:line="240" w:lineRule="auto"/>
              <w:jc w:val="right"/>
            </w:pPr>
            <w:r>
              <w:rPr>
                <w:sz w:val="18"/>
              </w:rPr>
              <w:t>0,00</w:t>
            </w:r>
          </w:p>
        </w:tc>
        <w:tc>
          <w:tcPr>
            <w:tcW w:w="700" w:type="dxa"/>
            <w:tcMar>
              <w:top w:w="0" w:type="dxa"/>
              <w:bottom w:w="0" w:type="dxa"/>
            </w:tcMar>
            <w:vAlign w:val="center"/>
          </w:tcPr>
          <w:p w:rsidR="00EB6F6A" w:rsidRDefault="00286458">
            <w:pPr>
              <w:keepNext/>
              <w:keepLines/>
              <w:spacing w:after="0" w:line="240" w:lineRule="auto"/>
              <w:jc w:val="right"/>
            </w:pPr>
            <w:r>
              <w:rPr>
                <w:sz w:val="18"/>
              </w:rPr>
              <w:t>0</w:t>
            </w:r>
          </w:p>
        </w:tc>
      </w:tr>
    </w:tbl>
    <w:p w:rsidR="00EB6F6A" w:rsidRDefault="00EB6F6A">
      <w:pPr>
        <w:spacing w:after="0"/>
      </w:pPr>
    </w:p>
    <w:p w:rsidR="00EB6F6A" w:rsidRDefault="00286458">
      <w:pPr>
        <w:jc w:val="both"/>
      </w:pPr>
      <w:r>
        <w:t>Promjene u obujmu obveza (Račun 91522 – Šifra P035)  za razdoblje od 1. siječnja do 31. prosinca 2025. godine iskazane su na poziciji povećanja u iznosu od 10.652 EUR, a odnose se na otpis obveza zbog utvrđene zastare.</w:t>
      </w:r>
    </w:p>
    <w:p w:rsidR="00EB6F6A" w:rsidRDefault="00EB6F6A"/>
    <w:p w:rsidR="00EB6F6A" w:rsidRDefault="00286458">
      <w:pPr>
        <w:keepNext/>
        <w:spacing w:line="240" w:lineRule="auto"/>
        <w:jc w:val="center"/>
      </w:pPr>
      <w:r>
        <w:rPr>
          <w:b/>
          <w:sz w:val="28"/>
        </w:rPr>
        <w:t>Izvještaj o obvezama</w:t>
      </w:r>
    </w:p>
    <w:p w:rsidR="00EB6F6A" w:rsidRDefault="00286458">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Ra</w:t>
            </w:r>
            <w:r>
              <w:rPr>
                <w:b/>
                <w:sz w:val="18"/>
              </w:rPr>
              <w:t xml:space="preserve">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EB6F6A">
            <w:pPr>
              <w:keepNext/>
              <w:keepLines/>
              <w:spacing w:after="0" w:line="240" w:lineRule="auto"/>
            </w:pPr>
          </w:p>
        </w:tc>
        <w:tc>
          <w:tcPr>
            <w:tcW w:w="3180" w:type="dxa"/>
            <w:tcMar>
              <w:top w:w="0" w:type="dxa"/>
              <w:bottom w:w="0" w:type="dxa"/>
            </w:tcMar>
            <w:vAlign w:val="center"/>
          </w:tcPr>
          <w:p w:rsidR="00EB6F6A" w:rsidRDefault="00286458">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EB6F6A" w:rsidRDefault="00286458">
            <w:pPr>
              <w:keepNext/>
              <w:keepLines/>
              <w:spacing w:after="0" w:line="240" w:lineRule="auto"/>
            </w:pPr>
            <w:r>
              <w:rPr>
                <w:sz w:val="18"/>
              </w:rPr>
              <w:t>V006</w:t>
            </w:r>
          </w:p>
        </w:tc>
        <w:tc>
          <w:tcPr>
            <w:tcW w:w="1860" w:type="dxa"/>
            <w:tcMar>
              <w:top w:w="0" w:type="dxa"/>
              <w:bottom w:w="0" w:type="dxa"/>
            </w:tcMar>
            <w:vAlign w:val="center"/>
          </w:tcPr>
          <w:p w:rsidR="00EB6F6A" w:rsidRDefault="00286458">
            <w:pPr>
              <w:keepNext/>
              <w:keepLines/>
              <w:spacing w:after="0" w:line="240" w:lineRule="auto"/>
              <w:jc w:val="right"/>
            </w:pPr>
            <w:r>
              <w:rPr>
                <w:sz w:val="18"/>
              </w:rPr>
              <w:t>310.216.587,91</w:t>
            </w:r>
          </w:p>
        </w:tc>
        <w:tc>
          <w:tcPr>
            <w:tcW w:w="700" w:type="dxa"/>
            <w:tcMar>
              <w:top w:w="0" w:type="dxa"/>
              <w:bottom w:w="0" w:type="dxa"/>
            </w:tcMar>
            <w:vAlign w:val="center"/>
          </w:tcPr>
          <w:p w:rsidR="00EB6F6A" w:rsidRDefault="00286458">
            <w:pPr>
              <w:keepNext/>
              <w:keepLines/>
              <w:spacing w:after="0" w:line="240" w:lineRule="auto"/>
              <w:jc w:val="right"/>
            </w:pPr>
            <w:r>
              <w:rPr>
                <w:sz w:val="18"/>
              </w:rPr>
              <w:t>-</w:t>
            </w:r>
          </w:p>
        </w:tc>
      </w:tr>
    </w:tbl>
    <w:p w:rsidR="00EB6F6A" w:rsidRDefault="00EB6F6A">
      <w:pPr>
        <w:spacing w:after="0"/>
      </w:pPr>
    </w:p>
    <w:p w:rsidR="00EB6F6A" w:rsidRDefault="00286458">
      <w:pPr>
        <w:jc w:val="both"/>
      </w:pPr>
      <w:r>
        <w:t>Stanje obveza na kraju izvještajnog razdoblja iznose 310.216.588 EUR. Povećanje obveza u odnosu na isto razdoblje prethodne godine iznosi 8,4% (obveze na kraju izvještajnog razdoblja od siječanja do prosinca 2024. godine iznosile su 286.235.433 EUR). </w:t>
      </w:r>
    </w:p>
    <w:p w:rsidR="00EB6F6A" w:rsidRDefault="00286458">
      <w:pPr>
        <w:jc w:val="both"/>
      </w:pPr>
      <w:r>
        <w:t>Najv</w:t>
      </w:r>
      <w:r>
        <w:t>eći dio obveza odnosi se na obveze za lijekove (136.870.860 EUR) i obveze za manje izvršeni rad prema HZZO-u (69.726.808 EUR) koji se odnosi na dodatna uplaćena sredstva u razdoblju od 2020. godine do 2022. godine. </w:t>
      </w:r>
    </w:p>
    <w:p w:rsidR="00EB6F6A" w:rsidRDefault="00286458">
      <w:pPr>
        <w:jc w:val="both"/>
      </w:pPr>
      <w:r>
        <w:t>Odlukom Upravnog vijeća HZZO-a od 31. sv</w:t>
      </w:r>
      <w:r>
        <w:t xml:space="preserve">ibnja 2022. godine o načinu vraćanja isplaćenih iznosa sredstava za provođenje bolničke i specijalističko-konzilijarne zdravstvene zaštite u iznosu većem od izvršenih usluga bolničke ustanove su dužne neizvršeni limit za razdoblje od 2014. do 2021. godine </w:t>
      </w:r>
      <w:r>
        <w:t>nadoknaditi većim izvršenjem. Također, Odlukama Upravnog vijeća HZZO-a bolničke ustanove su sva primljena dodatna novčana sredstva obvezne pravdati ispostavljanjem računa za provedenu zdravstvenu zaštitu iz obveznog zdravstvenog osiguranja. Rok ispostavlja</w:t>
      </w:r>
      <w:r>
        <w:t xml:space="preserve">nja računa (izvršenja usluge) nije propisan. Navedenim Odlukama </w:t>
      </w:r>
      <w:r>
        <w:lastRenderedPageBreak/>
        <w:t>iznos ukupnih obveza prema HZZO-u za manje izvršen rad definiran je kao nedospjela obveza.</w:t>
      </w:r>
    </w:p>
    <w:p w:rsidR="00EB6F6A" w:rsidRDefault="00EB6F6A"/>
    <w:p w:rsidR="00EB6F6A" w:rsidRDefault="00286458">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B6F6A">
        <w:tblPrEx>
          <w:tblCellMar>
            <w:top w:w="0" w:type="dxa"/>
            <w:bottom w:w="0" w:type="dxa"/>
          </w:tblCellMar>
        </w:tblPrEx>
        <w:trPr>
          <w:cantSplit/>
        </w:trPr>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B6F6A" w:rsidRDefault="00286458">
            <w:pPr>
              <w:keepNext/>
              <w:keepLines/>
              <w:spacing w:after="0" w:line="240" w:lineRule="auto"/>
              <w:jc w:val="center"/>
            </w:pPr>
            <w:r>
              <w:rPr>
                <w:b/>
                <w:sz w:val="18"/>
              </w:rPr>
              <w:t>Indeks (%)</w:t>
            </w:r>
          </w:p>
        </w:tc>
      </w:tr>
      <w:tr w:rsidR="00EB6F6A">
        <w:tblPrEx>
          <w:tblCellMar>
            <w:top w:w="0" w:type="dxa"/>
            <w:bottom w:w="0" w:type="dxa"/>
          </w:tblCellMar>
        </w:tblPrEx>
        <w:trPr>
          <w:cantSplit/>
          <w:trHeight w:val="560"/>
        </w:trPr>
        <w:tc>
          <w:tcPr>
            <w:tcW w:w="700" w:type="dxa"/>
            <w:tcMar>
              <w:top w:w="0" w:type="dxa"/>
              <w:bottom w:w="0" w:type="dxa"/>
            </w:tcMar>
            <w:vAlign w:val="center"/>
          </w:tcPr>
          <w:p w:rsidR="00EB6F6A" w:rsidRDefault="00EB6F6A">
            <w:pPr>
              <w:keepNext/>
              <w:keepLines/>
              <w:spacing w:after="0" w:line="240" w:lineRule="auto"/>
            </w:pPr>
          </w:p>
        </w:tc>
        <w:tc>
          <w:tcPr>
            <w:tcW w:w="3180" w:type="dxa"/>
            <w:tcMar>
              <w:top w:w="0" w:type="dxa"/>
              <w:bottom w:w="0" w:type="dxa"/>
            </w:tcMar>
            <w:vAlign w:val="center"/>
          </w:tcPr>
          <w:p w:rsidR="00EB6F6A" w:rsidRDefault="00286458">
            <w:pPr>
              <w:keepNext/>
              <w:keepLines/>
              <w:spacing w:after="0" w:line="240" w:lineRule="auto"/>
            </w:pPr>
            <w:r>
              <w:rPr>
                <w:sz w:val="18"/>
              </w:rPr>
              <w:t xml:space="preserve">Stanje dospjelih obveza na </w:t>
            </w:r>
            <w:r>
              <w:rPr>
                <w:sz w:val="18"/>
              </w:rPr>
              <w:t>kraju izvještajnog razdoblja (šifre V008+D23+D24 + 'D dio 25,26' + D27)</w:t>
            </w:r>
          </w:p>
        </w:tc>
        <w:tc>
          <w:tcPr>
            <w:tcW w:w="700" w:type="dxa"/>
            <w:tcMar>
              <w:top w:w="0" w:type="dxa"/>
              <w:bottom w:w="0" w:type="dxa"/>
            </w:tcMar>
            <w:vAlign w:val="center"/>
          </w:tcPr>
          <w:p w:rsidR="00EB6F6A" w:rsidRDefault="00286458">
            <w:pPr>
              <w:keepNext/>
              <w:keepLines/>
              <w:spacing w:after="0" w:line="240" w:lineRule="auto"/>
            </w:pPr>
            <w:r>
              <w:rPr>
                <w:sz w:val="18"/>
              </w:rPr>
              <w:t>V007</w:t>
            </w:r>
          </w:p>
        </w:tc>
        <w:tc>
          <w:tcPr>
            <w:tcW w:w="1860" w:type="dxa"/>
            <w:tcMar>
              <w:top w:w="0" w:type="dxa"/>
              <w:bottom w:w="0" w:type="dxa"/>
            </w:tcMar>
            <w:vAlign w:val="center"/>
          </w:tcPr>
          <w:p w:rsidR="00EB6F6A" w:rsidRDefault="00286458">
            <w:pPr>
              <w:keepNext/>
              <w:keepLines/>
              <w:spacing w:after="0" w:line="240" w:lineRule="auto"/>
              <w:jc w:val="right"/>
            </w:pPr>
            <w:r>
              <w:rPr>
                <w:sz w:val="18"/>
              </w:rPr>
              <w:t>129.289.782,97</w:t>
            </w:r>
          </w:p>
        </w:tc>
        <w:tc>
          <w:tcPr>
            <w:tcW w:w="700" w:type="dxa"/>
            <w:tcMar>
              <w:top w:w="0" w:type="dxa"/>
              <w:bottom w:w="0" w:type="dxa"/>
            </w:tcMar>
            <w:vAlign w:val="center"/>
          </w:tcPr>
          <w:p w:rsidR="00EB6F6A" w:rsidRDefault="00286458">
            <w:pPr>
              <w:keepNext/>
              <w:keepLines/>
              <w:spacing w:after="0" w:line="240" w:lineRule="auto"/>
              <w:jc w:val="right"/>
            </w:pPr>
            <w:r>
              <w:rPr>
                <w:sz w:val="18"/>
              </w:rPr>
              <w:t>-</w:t>
            </w:r>
          </w:p>
        </w:tc>
      </w:tr>
    </w:tbl>
    <w:p w:rsidR="00EB6F6A" w:rsidRDefault="00EB6F6A">
      <w:pPr>
        <w:spacing w:after="0"/>
      </w:pPr>
    </w:p>
    <w:p w:rsidR="00EB6F6A" w:rsidRDefault="00286458">
      <w:pPr>
        <w:jc w:val="both"/>
      </w:pPr>
      <w:r>
        <w:t>Stanje dospjelih obveza na kraju izvještajnog razdoblja iznosi 129.289.783 EUR. Povećanje dospjelih obveza u odnosu na isto razdoblje prethodne godine iznosi 12,1% (dospjele obveze na kraju izvještajnog razdoblja od 1. siječnja do 31. prosinca 2024. godine</w:t>
      </w:r>
      <w:r>
        <w:t xml:space="preserve"> iznosile su 115.317.132 EUR). Dospjele obveze odnose se na obveze za materijalne rashode u iznosu od 121.384.678 EUR, obveze za nabavu nefinancijske imovine u iznosu od 4.610.522 EUR i obveze za financijske rashode u iznosu od 3.143.663 EUR.</w:t>
      </w:r>
    </w:p>
    <w:p w:rsidR="00EB6F6A" w:rsidRDefault="00286458">
      <w:pPr>
        <w:jc w:val="both"/>
      </w:pPr>
      <w:r>
        <w:t xml:space="preserve">Od dospjelih </w:t>
      </w:r>
      <w:r>
        <w:t>obveza za materijalne rashode najveći dio odnosi se na obveze za lijekove (85.285.691 EUR) i medicinski potrošni materijal (35.039.245 EUR) </w:t>
      </w:r>
    </w:p>
    <w:p w:rsidR="00EB6F6A" w:rsidRDefault="00286458">
      <w:pPr>
        <w:jc w:val="both"/>
      </w:pPr>
      <w:r>
        <w:t>Glavni razlozi dospjelosti obveza su nedovoljan ugovoreni maksimalni mjesečni iznos sredstava za provođenje bolničk</w:t>
      </w:r>
      <w:r>
        <w:t xml:space="preserve">e  i specijalističko-konzilijarne zdravstvene zaštite iz obveznog zdravstvenog osiguranja („limit“), uvođenje varijabilnog dijela u visini 10% osnovnog iznosa sredstava za provođenje bolničke  i specijalističko-konzilijarne zdravstvene zaštite iz obveznog </w:t>
      </w:r>
      <w:r>
        <w:t>zdravstvenog osiguranja („limit“) koji se plaća po izvršenju, kao i nedovoljan ugovoreni mjesečni iznos za ugovorene aktivnosti i programe „izvan limita“. </w:t>
      </w:r>
    </w:p>
    <w:p w:rsidR="00EB6F6A" w:rsidRDefault="00EB6F6A"/>
    <w:p w:rsidR="00EB6F6A" w:rsidRDefault="00286458">
      <w:pPr>
        <w:keepNext/>
        <w:spacing w:line="240" w:lineRule="auto"/>
        <w:jc w:val="center"/>
      </w:pPr>
      <w:r>
        <w:rPr>
          <w:sz w:val="28"/>
        </w:rPr>
        <w:t>Bilješka 52.</w:t>
      </w:r>
    </w:p>
    <w:p w:rsidR="00EB6F6A" w:rsidRDefault="00286458">
      <w:pPr>
        <w:spacing w:line="240" w:lineRule="auto"/>
        <w:jc w:val="both"/>
      </w:pPr>
      <w:r>
        <w:rPr>
          <w:b/>
        </w:rPr>
        <w:t>EU izvještaj</w:t>
      </w:r>
    </w:p>
    <w:p w:rsidR="00EB6F6A" w:rsidRDefault="00286458">
      <w:r>
        <w:t>Na izvoru 510 Programi unije evidentirani su projekti iz Programa EU za z</w:t>
      </w:r>
      <w:r>
        <w:t>dravlje:</w:t>
      </w:r>
    </w:p>
    <w:p w:rsidR="00EB6F6A" w:rsidRDefault="00286458">
      <w:pPr>
        <w:pStyle w:val="ListParagraph"/>
        <w:numPr>
          <w:ilvl w:val="0"/>
          <w:numId w:val="1"/>
        </w:numPr>
      </w:pPr>
      <w:r>
        <w:t>JAČANJE PROBIRA RAKA PLUĆA U EUROPI – SOLACE</w:t>
      </w:r>
    </w:p>
    <w:p w:rsidR="00EB6F6A" w:rsidRDefault="00286458">
      <w:pPr>
        <w:pStyle w:val="ListParagraph"/>
        <w:numPr>
          <w:ilvl w:val="0"/>
          <w:numId w:val="1"/>
        </w:numPr>
      </w:pPr>
      <w:r>
        <w:t>PROVEDBA PROBIRA RAKA ŽELUCA U ZEMLJAMA EU – TOGAS</w:t>
      </w:r>
    </w:p>
    <w:p w:rsidR="00EB6F6A" w:rsidRDefault="00286458">
      <w:pPr>
        <w:pStyle w:val="ListParagraph"/>
        <w:numPr>
          <w:ilvl w:val="0"/>
          <w:numId w:val="1"/>
        </w:numPr>
      </w:pPr>
      <w:r>
        <w:t>ZAJEDNIČKA AKCIJA INTEGRACIJE EUROPSKE REFERENTNE MREŽE U NACIONALNE ZDRAVSTVENE SUSTAVE – JARDIN</w:t>
      </w:r>
    </w:p>
    <w:p w:rsidR="00EB6F6A" w:rsidRDefault="00286458">
      <w:pPr>
        <w:pStyle w:val="ListParagraph"/>
        <w:numPr>
          <w:ilvl w:val="0"/>
          <w:numId w:val="1"/>
        </w:numPr>
      </w:pPr>
      <w:proofErr w:type="spellStart"/>
      <w:r>
        <w:t>EUNetCCC</w:t>
      </w:r>
      <w:proofErr w:type="spellEnd"/>
      <w:r>
        <w:t xml:space="preserve"> - EUROPSKA SVEOBUHVATNA MREŽA CENTARA ZA RAK</w:t>
      </w:r>
    </w:p>
    <w:p w:rsidR="00EB6F6A" w:rsidRDefault="00286458">
      <w:pPr>
        <w:pStyle w:val="ListParagraph"/>
        <w:numPr>
          <w:ilvl w:val="0"/>
          <w:numId w:val="1"/>
        </w:numPr>
      </w:pPr>
      <w:r>
        <w:t>JANE - USPOSTAVLJANJE NOVIH MREŽA STRUČNOSTI O KARCINOMIMA I STANJIMA RAKA</w:t>
      </w:r>
    </w:p>
    <w:p w:rsidR="00EB6F6A" w:rsidRDefault="00286458">
      <w:pPr>
        <w:pStyle w:val="ListParagraph"/>
        <w:numPr>
          <w:ilvl w:val="0"/>
          <w:numId w:val="1"/>
        </w:numPr>
      </w:pPr>
      <w:r>
        <w:t>ZDRAVIJI ZAJEDNO: EU INICIJATIVA ZA NCD - KRONIČNE RESPIRATORNE BOLESTI – JARED</w:t>
      </w:r>
    </w:p>
    <w:p w:rsidR="00EB6F6A" w:rsidRDefault="00286458">
      <w:r>
        <w:t> </w:t>
      </w:r>
    </w:p>
    <w:p w:rsidR="00EB6F6A" w:rsidRDefault="00286458">
      <w:r>
        <w:t>Na izvor 563 Europski Fond za regionalni razvoj evidentiran je projekt LIFEGATE - Program prekogranične suradnje (INTERREG).</w:t>
      </w:r>
    </w:p>
    <w:p w:rsidR="00EB6F6A" w:rsidRDefault="00286458">
      <w:r>
        <w:t>Na izvoru 581 Mehanizam za oporavak i otpornost - bespovratna sredstva evidentirani su projekti:</w:t>
      </w:r>
    </w:p>
    <w:p w:rsidR="00EB6F6A" w:rsidRDefault="00286458">
      <w:pPr>
        <w:pStyle w:val="ListParagraph"/>
        <w:numPr>
          <w:ilvl w:val="0"/>
          <w:numId w:val="3"/>
        </w:numPr>
      </w:pPr>
      <w:r>
        <w:lastRenderedPageBreak/>
        <w:t>III Faza razvoja KBC-a Zagreb-opre</w:t>
      </w:r>
      <w:r>
        <w:t>manje medicinskom i nemedicinskom opremom</w:t>
      </w:r>
    </w:p>
    <w:p w:rsidR="00EB6F6A" w:rsidRDefault="00286458">
      <w:pPr>
        <w:pStyle w:val="ListParagraph"/>
        <w:numPr>
          <w:ilvl w:val="0"/>
          <w:numId w:val="3"/>
        </w:numPr>
      </w:pPr>
      <w:r>
        <w:t>Izgradnja prostorija/bunkera za smještaj radioterapijske opreme</w:t>
      </w:r>
    </w:p>
    <w:p w:rsidR="00EB6F6A" w:rsidRDefault="00286458">
      <w:r>
        <w:t> </w:t>
      </w:r>
    </w:p>
    <w:p w:rsidR="00EB6F6A" w:rsidRDefault="00286458">
      <w:r>
        <w:t>Na izvoru 815 Mehanizam za oporavak i otpornost (NPOO zajam) evidentirani su projekti:</w:t>
      </w:r>
    </w:p>
    <w:p w:rsidR="00EB6F6A" w:rsidRDefault="00286458">
      <w:pPr>
        <w:pStyle w:val="ListParagraph"/>
        <w:numPr>
          <w:ilvl w:val="0"/>
          <w:numId w:val="4"/>
        </w:numPr>
      </w:pPr>
      <w:r>
        <w:t>Projekt obnove od potresa Klinike za plućne bolesti KBC-a Zag</w:t>
      </w:r>
      <w:r>
        <w:t xml:space="preserve">reb na lokaciji </w:t>
      </w:r>
      <w:proofErr w:type="spellStart"/>
      <w:r>
        <w:t>Jordanovac</w:t>
      </w:r>
      <w:proofErr w:type="spellEnd"/>
      <w:r>
        <w:t> </w:t>
      </w:r>
    </w:p>
    <w:p w:rsidR="00EB6F6A" w:rsidRDefault="00286458">
      <w:pPr>
        <w:pStyle w:val="ListParagraph"/>
        <w:numPr>
          <w:ilvl w:val="0"/>
          <w:numId w:val="4"/>
        </w:numPr>
      </w:pPr>
      <w:r>
        <w:t xml:space="preserve">Projekt cjelovite obnove od potresa Glavne zgrade KBC-a Zagreb na lokaciji </w:t>
      </w:r>
      <w:proofErr w:type="spellStart"/>
      <w:r>
        <w:t>Kišpatićeva</w:t>
      </w:r>
      <w:proofErr w:type="spellEnd"/>
      <w:r>
        <w:t xml:space="preserve"> 12 </w:t>
      </w:r>
    </w:p>
    <w:p w:rsidR="00EB6F6A" w:rsidRDefault="00286458">
      <w:pPr>
        <w:pStyle w:val="ListParagraph"/>
        <w:numPr>
          <w:ilvl w:val="0"/>
          <w:numId w:val="4"/>
        </w:numPr>
      </w:pPr>
      <w:r>
        <w:t>Projekt obnove od potresa bolnice Petrova 13 </w:t>
      </w:r>
    </w:p>
    <w:p w:rsidR="00EB6F6A" w:rsidRDefault="00EB6F6A"/>
    <w:sectPr w:rsidR="00EB6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649FF"/>
    <w:multiLevelType w:val="hybridMultilevel"/>
    <w:tmpl w:val="20F01F08"/>
    <w:name w:val="disc"/>
    <w:lvl w:ilvl="0" w:tplc="007E3E1A">
      <w:start w:val="1"/>
      <w:numFmt w:val="bullet"/>
      <w:lvlText w:val="•"/>
      <w:lvlJc w:val="left"/>
      <w:pPr>
        <w:ind w:left="720" w:hanging="360"/>
      </w:pPr>
    </w:lvl>
    <w:lvl w:ilvl="1" w:tplc="E1F2A9A0">
      <w:start w:val="1"/>
      <w:numFmt w:val="bullet"/>
      <w:lvlText w:val="•"/>
      <w:lvlJc w:val="left"/>
      <w:pPr>
        <w:ind w:left="1440" w:hanging="360"/>
      </w:pPr>
    </w:lvl>
    <w:lvl w:ilvl="2" w:tplc="05583FD8">
      <w:start w:val="1"/>
      <w:numFmt w:val="bullet"/>
      <w:lvlText w:val="•"/>
      <w:lvlJc w:val="left"/>
      <w:pPr>
        <w:ind w:left="2160" w:hanging="360"/>
      </w:pPr>
    </w:lvl>
    <w:lvl w:ilvl="3" w:tplc="D04C98E0">
      <w:start w:val="1"/>
      <w:numFmt w:val="bullet"/>
      <w:lvlText w:val="•"/>
      <w:lvlJc w:val="left"/>
      <w:pPr>
        <w:ind w:left="2880" w:hanging="360"/>
      </w:pPr>
    </w:lvl>
    <w:lvl w:ilvl="4" w:tplc="64FC7EE6">
      <w:start w:val="1"/>
      <w:numFmt w:val="bullet"/>
      <w:lvlText w:val="•"/>
      <w:lvlJc w:val="left"/>
      <w:pPr>
        <w:ind w:left="3600" w:hanging="360"/>
      </w:pPr>
    </w:lvl>
    <w:lvl w:ilvl="5" w:tplc="AEF0A4DC">
      <w:start w:val="1"/>
      <w:numFmt w:val="bullet"/>
      <w:lvlText w:val="•"/>
      <w:lvlJc w:val="left"/>
      <w:pPr>
        <w:ind w:left="4320" w:hanging="360"/>
      </w:pPr>
    </w:lvl>
    <w:lvl w:ilvl="6" w:tplc="1B0A9E2E">
      <w:start w:val="1"/>
      <w:numFmt w:val="bullet"/>
      <w:lvlText w:val="•"/>
      <w:lvlJc w:val="left"/>
      <w:pPr>
        <w:ind w:left="5040" w:hanging="360"/>
      </w:pPr>
    </w:lvl>
    <w:lvl w:ilvl="7" w:tplc="B492F850">
      <w:start w:val="1"/>
      <w:numFmt w:val="bullet"/>
      <w:lvlText w:val="•"/>
      <w:lvlJc w:val="left"/>
      <w:pPr>
        <w:ind w:left="5760" w:hanging="360"/>
      </w:pPr>
    </w:lvl>
    <w:lvl w:ilvl="8" w:tplc="BAA0454A">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B6F6A"/>
    <w:rsid w:val="00286458"/>
    <w:rsid w:val="00BC6ABD"/>
    <w:rsid w:val="00EB6F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9336"/>
  <w15:docId w15:val="{AC0631BB-3DF8-4658-AA44-CE65CDCC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7114</Words>
  <Characters>40553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JANEŠ GORAN</dc:creator>
  <cp:lastModifiedBy>JANEŠ GORAN</cp:lastModifiedBy>
  <cp:revision>3</cp:revision>
  <cp:lastPrinted>2026-02-10T06:30:00Z</cp:lastPrinted>
  <dcterms:created xsi:type="dcterms:W3CDTF">2026-02-10T06:29:00Z</dcterms:created>
  <dcterms:modified xsi:type="dcterms:W3CDTF">2026-02-10T06:30:00Z</dcterms:modified>
</cp:coreProperties>
</file>