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pPr>
      <w:r w:rsidDel="00000000" w:rsidR="00000000" w:rsidRPr="00000000">
        <w:rPr>
          <w:b w:val="1"/>
          <w:rtl w:val="0"/>
        </w:rPr>
        <w:t xml:space="preserve">KLINIČKI BOLNIČKI CENTAR ZAGREB</w:t>
      </w:r>
      <w:r w:rsidDel="00000000" w:rsidR="00000000" w:rsidRPr="00000000">
        <w:rPr>
          <w:rtl w:val="0"/>
        </w:rPr>
      </w:r>
    </w:p>
    <w:p w:rsidR="00000000" w:rsidDel="00000000" w:rsidP="00000000" w:rsidRDefault="00000000" w:rsidRPr="00000000" w14:paraId="00000002">
      <w:pPr>
        <w:spacing w:after="0" w:line="276" w:lineRule="auto"/>
        <w:rPr/>
      </w:pPr>
      <w:r w:rsidDel="00000000" w:rsidR="00000000" w:rsidRPr="00000000">
        <w:rPr>
          <w:b w:val="1"/>
          <w:rtl w:val="0"/>
        </w:rPr>
        <w:t xml:space="preserve">KLINIKA ZA ONKOLOGIJU</w:t>
      </w:r>
      <w:r w:rsidDel="00000000" w:rsidR="00000000" w:rsidRPr="00000000">
        <w:rPr>
          <w:rtl w:val="0"/>
        </w:rPr>
      </w:r>
    </w:p>
    <w:p w:rsidR="00000000" w:rsidDel="00000000" w:rsidP="00000000" w:rsidRDefault="00000000" w:rsidRPr="00000000" w14:paraId="00000003">
      <w:pPr>
        <w:spacing w:after="0" w:line="276" w:lineRule="auto"/>
        <w:rPr/>
      </w:pPr>
      <w:r w:rsidDel="00000000" w:rsidR="00000000" w:rsidRPr="00000000">
        <w:rPr>
          <w:b w:val="1"/>
          <w:rtl w:val="0"/>
        </w:rPr>
        <w:t xml:space="preserve">Ambulanta za nasljedne zloćudne bolesti</w:t>
      </w:r>
      <w:r w:rsidDel="00000000" w:rsidR="00000000" w:rsidRPr="00000000">
        <w:rPr>
          <w:rtl w:val="0"/>
        </w:rPr>
      </w:r>
    </w:p>
    <w:p w:rsidR="00000000" w:rsidDel="00000000" w:rsidP="00000000" w:rsidRDefault="00000000" w:rsidRPr="00000000" w14:paraId="00000004">
      <w:pPr>
        <w:spacing w:after="0" w:line="276" w:lineRule="auto"/>
        <w:rPr/>
      </w:pPr>
      <w:r w:rsidDel="00000000" w:rsidR="00000000" w:rsidRPr="00000000">
        <w:rPr>
          <w:b w:val="1"/>
          <w:rtl w:val="0"/>
        </w:rPr>
        <w:t xml:space="preserve">Bijela zgrada, -1. kat</w:t>
      </w:r>
      <w:r w:rsidDel="00000000" w:rsidR="00000000" w:rsidRPr="00000000">
        <w:rPr>
          <w:rtl w:val="0"/>
        </w:rPr>
      </w:r>
    </w:p>
    <w:p w:rsidR="00000000" w:rsidDel="00000000" w:rsidP="00000000" w:rsidRDefault="00000000" w:rsidRPr="00000000" w14:paraId="00000005">
      <w:pPr>
        <w:spacing w:after="0" w:line="276" w:lineRule="auto"/>
        <w:rPr/>
      </w:pPr>
      <w:r w:rsidDel="00000000" w:rsidR="00000000" w:rsidRPr="00000000">
        <w:rPr>
          <w:b w:val="1"/>
          <w:rtl w:val="0"/>
        </w:rPr>
        <w:t xml:space="preserve">Tel: 01/2367-101, fax: 01/2367-109</w:t>
      </w:r>
      <w:r w:rsidDel="00000000" w:rsidR="00000000" w:rsidRPr="00000000">
        <w:rPr>
          <w:rtl w:val="0"/>
        </w:rPr>
      </w:r>
    </w:p>
    <w:p w:rsidR="00000000" w:rsidDel="00000000" w:rsidP="00000000" w:rsidRDefault="00000000" w:rsidRPr="00000000" w14:paraId="00000006">
      <w:pPr>
        <w:spacing w:after="0" w:line="276" w:lineRule="auto"/>
        <w:rPr/>
      </w:pPr>
      <w:r w:rsidDel="00000000" w:rsidR="00000000" w:rsidRPr="00000000">
        <w:rPr>
          <w:b w:val="1"/>
          <w:rtl w:val="0"/>
        </w:rPr>
        <w:t xml:space="preserve">e-mail: </w:t>
      </w:r>
      <w:hyperlink r:id="rId6">
        <w:r w:rsidDel="00000000" w:rsidR="00000000" w:rsidRPr="00000000">
          <w:rPr>
            <w:b w:val="1"/>
            <w:color w:val="0563c1"/>
            <w:u w:val="single"/>
            <w:rtl w:val="0"/>
          </w:rPr>
          <w:t xml:space="preserve">predbiljezbe.bolesti.dojke.onk@kbc-zagreb.hr</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UPUTA ZA TESTIRANJE SRODNIKA:</w:t>
      </w:r>
    </w:p>
    <w:p w:rsidR="00000000" w:rsidDel="00000000" w:rsidP="00000000" w:rsidRDefault="00000000" w:rsidRPr="00000000" w14:paraId="0000000A">
      <w:pPr>
        <w:rPr/>
      </w:pPr>
      <w:r w:rsidDel="00000000" w:rsidR="00000000" w:rsidRPr="00000000">
        <w:rPr>
          <w:rtl w:val="0"/>
        </w:rPr>
        <w:tab/>
        <w:t xml:space="preserve">Budući da kod srodnika (roditelji, braća i sestre, djeca, tete, ujaci, ostali rođaci) postoji 50% vjerojatnost da su nositelji patogene varijante gena koja je nađena kod testiranog člana obitelji, preporuča se provesti testiranje rođaka na navedenu patogenu varijantu gena Sangerovom metodom sekvenciranja. Testiranje djece mlađe od 18 godina se u pravilu ne preporučuje.</w:t>
      </w:r>
    </w:p>
    <w:p w:rsidR="00000000" w:rsidDel="00000000" w:rsidP="00000000" w:rsidRDefault="00000000" w:rsidRPr="00000000" w14:paraId="0000000B">
      <w:pPr>
        <w:rPr/>
      </w:pPr>
      <w:r w:rsidDel="00000000" w:rsidR="00000000" w:rsidRPr="00000000">
        <w:rPr>
          <w:rtl w:val="0"/>
        </w:rPr>
        <w:tab/>
        <w:t xml:space="preserve">Srodnici koji se odluče za genetičko testiranje trebaju izvaditi uputnice:</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Za pregled u Ambulanti za nasljedne zloćudne bolesti, Medicinska genetika (2090900) – A1 – Genetičko savjetovanje</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Medicinska genetika (2550000), laboratorij molekularne dijagnostike – A3 – Izolacija DNA</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Medicinska genetika (2550000), laboratorij molekularne dijagnostike – A3 – Analiza gena BRCA 1 i BRCA 2; MLPA</w:t>
      </w:r>
    </w:p>
    <w:p w:rsidR="00000000" w:rsidDel="00000000" w:rsidP="00000000" w:rsidRDefault="00000000" w:rsidRPr="00000000" w14:paraId="0000000F">
      <w:pPr>
        <w:rPr/>
      </w:pPr>
      <w:r w:rsidDel="00000000" w:rsidR="00000000" w:rsidRPr="00000000">
        <w:rPr>
          <w:rtl w:val="0"/>
        </w:rPr>
        <w:tab/>
        <w:t xml:space="preserve">Kada su uputnice u sustavu, treba se javiti u Ambulantu za nasljedne zloćudne bolesti osobno, telefonom ili e-mailom (podaci u zaglavlju) radi upisa. Kod upisa je potrebno navesti ime i prezime, OIB, kontakt broj i e-mail adresu. </w:t>
      </w:r>
    </w:p>
    <w:p w:rsidR="00000000" w:rsidDel="00000000" w:rsidP="00000000" w:rsidRDefault="00000000" w:rsidRPr="00000000" w14:paraId="00000010">
      <w:pPr>
        <w:rPr/>
      </w:pPr>
      <w:r w:rsidDel="00000000" w:rsidR="00000000" w:rsidRPr="00000000">
        <w:rPr>
          <w:rtl w:val="0"/>
        </w:rPr>
        <w:tab/>
        <w:t xml:space="preserve">Nalaz u kojemu je postavljena indikacija za testiranje prema dogovoru može biti poslan e-mailom, poštom ili podignut na šalteru Ambulante za nasljedne zloćudne bolesti, bijela zgrada, -1. kat. S nalazom je potrebno doći na vađenje krvi u prizemlje zelene zgrade KBC Zagreb radnim danom do 9 h. Ponovna kontrola u Ambulanti za nasljedne zloćudne bolesti slijedi nakon dobivenih rezultata provedenog genetičkog testiranja.</w:t>
      </w:r>
    </w:p>
    <w:sectPr>
      <w:pgSz w:h="16838" w:w="11906" w:orient="portrait"/>
      <w:pgMar w:bottom="1417" w:top="1417" w:left="1417" w:right="141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predbiljezbe.bolesti.dojke.onk@kbc-zagreb.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